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A9ED4" w14:textId="7ED3DAC6" w:rsidR="00FA5CDE" w:rsidRDefault="00FA5CDE" w:rsidP="00FA5CDE">
      <w:pPr>
        <w:pStyle w:val="CH"/>
      </w:pPr>
      <w:bookmarkStart w:id="0" w:name="historyclause"/>
      <w:r w:rsidRPr="00B070F5">
        <w:t>3GPP RAN WG</w:t>
      </w:r>
      <w:r>
        <w:t>4</w:t>
      </w:r>
      <w:r w:rsidRPr="00B070F5">
        <w:t xml:space="preserve"> Meeting #</w:t>
      </w:r>
      <w:r>
        <w:t>95e</w:t>
      </w:r>
      <w:r>
        <w:tab/>
      </w:r>
      <w:r>
        <w:tab/>
      </w:r>
      <w:r w:rsidR="00500D7B" w:rsidRPr="00500D7B">
        <w:t>R4-2006361</w:t>
      </w:r>
      <w:bookmarkStart w:id="1" w:name="_GoBack"/>
      <w:bookmarkEnd w:id="1"/>
    </w:p>
    <w:p w14:paraId="022C0263" w14:textId="77777777" w:rsidR="00FA5CDE" w:rsidRPr="00FD166F" w:rsidRDefault="00FA5CDE" w:rsidP="00FA5CDE">
      <w:pPr>
        <w:pStyle w:val="CH"/>
        <w:tabs>
          <w:tab w:val="clear" w:pos="7920"/>
        </w:tabs>
        <w:rPr>
          <w:b w:val="0"/>
        </w:rPr>
      </w:pPr>
      <w:r w:rsidRPr="00AD1007">
        <w:t>Electronic meeting, 25th May – 5th June 2020</w:t>
      </w:r>
    </w:p>
    <w:p w14:paraId="39A0EE25" w14:textId="77777777" w:rsidR="00D309CC" w:rsidRPr="00990AA5" w:rsidRDefault="00D309CC" w:rsidP="00D309CC">
      <w:pPr>
        <w:tabs>
          <w:tab w:val="left" w:pos="2160"/>
        </w:tabs>
        <w:rPr>
          <w:rFonts w:ascii="Arial" w:hAnsi="Arial" w:cs="Arial"/>
          <w:b/>
          <w:lang w:val="en-GB"/>
        </w:rPr>
      </w:pPr>
    </w:p>
    <w:p w14:paraId="6DDCE159" w14:textId="6794B048" w:rsidR="00D309CC" w:rsidRPr="0008103A" w:rsidRDefault="00D309CC" w:rsidP="00D309CC">
      <w:pPr>
        <w:pStyle w:val="CH"/>
        <w:rPr>
          <w:b w:val="0"/>
        </w:rPr>
      </w:pPr>
      <w:r w:rsidRPr="0008103A">
        <w:t>Agenda item:</w:t>
      </w:r>
      <w:r>
        <w:tab/>
      </w:r>
      <w:r w:rsidR="008B4F02" w:rsidRPr="008B4F02">
        <w:t>6.14.1.4</w:t>
      </w:r>
    </w:p>
    <w:p w14:paraId="4DBE005A" w14:textId="77777777" w:rsidR="00D309CC" w:rsidRPr="0008103A" w:rsidRDefault="00D309CC" w:rsidP="00D309CC">
      <w:pPr>
        <w:pStyle w:val="CH"/>
        <w:rPr>
          <w:b w:val="0"/>
        </w:rPr>
      </w:pPr>
      <w:r>
        <w:t>Source:</w:t>
      </w:r>
      <w:r>
        <w:tab/>
        <w:t>Apple Inc.</w:t>
      </w:r>
    </w:p>
    <w:p w14:paraId="12344AA5" w14:textId="10783002" w:rsidR="00CB4975" w:rsidRDefault="00CB4975" w:rsidP="00CB4975">
      <w:pPr>
        <w:pStyle w:val="CH"/>
        <w:ind w:left="2250" w:hanging="2250"/>
      </w:pPr>
      <w:r w:rsidRPr="0008103A">
        <w:t>Title:</w:t>
      </w:r>
      <w:r w:rsidRPr="0008103A">
        <w:tab/>
      </w:r>
      <w:r w:rsidR="00FA5CDE" w:rsidRPr="00FA5CDE">
        <w:t>Remaining issues with non-simultaneous UL for non-contiguous UL CA in FR2</w:t>
      </w:r>
    </w:p>
    <w:p w14:paraId="052B1E0C" w14:textId="1A83A3B1" w:rsidR="00104BC6" w:rsidRDefault="00104BC6" w:rsidP="00D309CC">
      <w:pPr>
        <w:pStyle w:val="CH"/>
      </w:pPr>
      <w:r>
        <w:t>WI/SI:</w:t>
      </w:r>
      <w:r>
        <w:tab/>
      </w:r>
      <w:r w:rsidR="00CB4975" w:rsidRPr="008B1DF7">
        <w:t>NR_RF_FR2_req_enh</w:t>
      </w:r>
    </w:p>
    <w:p w14:paraId="6C6D1281" w14:textId="365DF4E7" w:rsidR="00104BC6" w:rsidRDefault="00104BC6" w:rsidP="00D309CC">
      <w:pPr>
        <w:pStyle w:val="CH"/>
        <w:rPr>
          <w:b w:val="0"/>
        </w:rPr>
      </w:pPr>
      <w:r>
        <w:t>Release:</w:t>
      </w:r>
      <w:r>
        <w:tab/>
      </w:r>
      <w:r w:rsidRPr="00CB4975">
        <w:t>Rel-</w:t>
      </w:r>
      <w:r w:rsidR="00CB4975" w:rsidRPr="00CB4975">
        <w:t>16</w:t>
      </w:r>
    </w:p>
    <w:p w14:paraId="2E4E044D" w14:textId="4710554E" w:rsidR="00D309CC" w:rsidRDefault="00D309CC" w:rsidP="00D309CC">
      <w:pPr>
        <w:pStyle w:val="CH"/>
      </w:pPr>
      <w:r>
        <w:t>Document for:</w:t>
      </w:r>
      <w:r>
        <w:tab/>
      </w:r>
      <w:r w:rsidR="00F73394">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12126AD" w14:textId="305EBF88" w:rsidR="00CB4975" w:rsidRDefault="00CB4975" w:rsidP="00CB4975">
      <w:r>
        <w:t xml:space="preserve">The Rel-16 FR2 RF work item includes the following scope related to non-simultaneous transmission for intra-band non-contiguous UL CA in FR2 </w:t>
      </w:r>
      <w:r>
        <w:fldChar w:fldCharType="begin"/>
      </w:r>
      <w:r>
        <w:instrText xml:space="preserve"> REF _Ref16575941 \r \h </w:instrText>
      </w:r>
      <w:r>
        <w:fldChar w:fldCharType="separate"/>
      </w:r>
      <w:r w:rsidR="00D705A3">
        <w:t>[1]</w:t>
      </w:r>
      <w:r>
        <w:fldChar w:fldCharType="end"/>
      </w:r>
      <w:r>
        <w:t>:</w:t>
      </w:r>
    </w:p>
    <w:p w14:paraId="4972D7F6" w14:textId="77777777" w:rsidR="00DF3F59" w:rsidRDefault="00DF3F59" w:rsidP="00CB4975"/>
    <w:p w14:paraId="5FD57BBC" w14:textId="77777777" w:rsidR="00CB4975" w:rsidRPr="00E7339E" w:rsidRDefault="00CB4975" w:rsidP="00007CF0">
      <w:pPr>
        <w:pStyle w:val="B1"/>
        <w:pBdr>
          <w:top w:val="single" w:sz="4" w:space="1" w:color="auto"/>
          <w:left w:val="single" w:sz="4" w:space="4" w:color="auto"/>
          <w:bottom w:val="single" w:sz="4" w:space="1" w:color="auto"/>
          <w:right w:val="single" w:sz="4" w:space="4" w:color="auto"/>
        </w:pBdr>
        <w:spacing w:after="0"/>
        <w:ind w:left="576" w:hanging="288"/>
        <w:rPr>
          <w:sz w:val="16"/>
          <w:szCs w:val="16"/>
        </w:rPr>
      </w:pPr>
      <w:r w:rsidRPr="00E7339E">
        <w:rPr>
          <w:sz w:val="16"/>
          <w:szCs w:val="16"/>
        </w:rPr>
        <w:t>-</w:t>
      </w:r>
      <w:r w:rsidRPr="00E7339E">
        <w:rPr>
          <w:sz w:val="16"/>
          <w:szCs w:val="16"/>
        </w:rPr>
        <w:tab/>
        <w:t>Phase 1: Study if both simultaneous UE transmission on aggregated UL carriers and non-simultaneous transmission on aggregated UL carriers with UE switching between two non-contiguous carriers could and should be specified. Study potential impacts of non-simultaneous transmission on RAN1 and/or RAN2 specifications</w:t>
      </w:r>
    </w:p>
    <w:p w14:paraId="1BF8C0AD" w14:textId="77777777" w:rsidR="00CB4975" w:rsidRPr="00E7339E" w:rsidRDefault="00CB4975" w:rsidP="00007CF0">
      <w:pPr>
        <w:pStyle w:val="B1"/>
        <w:pBdr>
          <w:top w:val="single" w:sz="4" w:space="1" w:color="auto"/>
          <w:left w:val="single" w:sz="4" w:space="4" w:color="auto"/>
          <w:bottom w:val="single" w:sz="4" w:space="1" w:color="auto"/>
          <w:right w:val="single" w:sz="4" w:space="4" w:color="auto"/>
        </w:pBdr>
        <w:spacing w:after="0"/>
        <w:ind w:left="576" w:hanging="288"/>
        <w:rPr>
          <w:sz w:val="16"/>
          <w:szCs w:val="16"/>
        </w:rPr>
      </w:pPr>
      <w:r w:rsidRPr="00E7339E">
        <w:rPr>
          <w:sz w:val="16"/>
          <w:szCs w:val="16"/>
        </w:rPr>
        <w:t>-</w:t>
      </w:r>
      <w:r w:rsidRPr="00E7339E">
        <w:rPr>
          <w:sz w:val="16"/>
          <w:szCs w:val="16"/>
        </w:rPr>
        <w:tab/>
        <w:t>Phase 2: Define FR2 UE requirements for non-contiguous intra-band UL CA based on the outcome of the Phase 1 study</w:t>
      </w:r>
    </w:p>
    <w:p w14:paraId="3BB7F8D4" w14:textId="3FF91C88" w:rsidR="004169CB" w:rsidRPr="00007CF0" w:rsidRDefault="004169CB" w:rsidP="00007CF0">
      <w:pPr>
        <w:pStyle w:val="B1"/>
        <w:pBdr>
          <w:top w:val="single" w:sz="4" w:space="1" w:color="auto"/>
          <w:left w:val="single" w:sz="4" w:space="4" w:color="auto"/>
          <w:bottom w:val="single" w:sz="4" w:space="1" w:color="auto"/>
          <w:right w:val="single" w:sz="4" w:space="4" w:color="auto"/>
        </w:pBdr>
        <w:spacing w:after="0"/>
        <w:ind w:left="576" w:hanging="288"/>
      </w:pPr>
      <w:r w:rsidRPr="00E7339E">
        <w:rPr>
          <w:sz w:val="16"/>
          <w:szCs w:val="16"/>
        </w:rPr>
        <w:t>-</w:t>
      </w:r>
      <w:r w:rsidRPr="00E7339E">
        <w:rPr>
          <w:sz w:val="16"/>
          <w:szCs w:val="16"/>
        </w:rPr>
        <w:tab/>
        <w:t>PCC with PRB allocation, SCC and other CCs without PRB allocation</w:t>
      </w:r>
    </w:p>
    <w:p w14:paraId="1A52B3FC" w14:textId="77777777" w:rsidR="00007CF0" w:rsidRDefault="00007CF0" w:rsidP="00CB4975"/>
    <w:p w14:paraId="528FE776" w14:textId="4F01DA38" w:rsidR="004169CB" w:rsidRDefault="00E93A86" w:rsidP="00CB4975">
      <w:r>
        <w:t xml:space="preserve">The following agreements were reached during the RAN4 #92bis meeting </w:t>
      </w:r>
      <w:r>
        <w:fldChar w:fldCharType="begin"/>
      </w:r>
      <w:r>
        <w:instrText xml:space="preserve"> REF _Ref24083416 \r \h </w:instrText>
      </w:r>
      <w:r>
        <w:fldChar w:fldCharType="separate"/>
      </w:r>
      <w:r w:rsidR="00D705A3">
        <w:t>[3]</w:t>
      </w:r>
      <w:r>
        <w:fldChar w:fldCharType="end"/>
      </w:r>
      <w:r w:rsidR="00A00460">
        <w:t>:</w:t>
      </w:r>
    </w:p>
    <w:p w14:paraId="2FA5F3FC" w14:textId="77777777" w:rsidR="00E93A86" w:rsidRDefault="00E93A86" w:rsidP="00CB4975"/>
    <w:tbl>
      <w:tblPr>
        <w:tblStyle w:val="TableGrid"/>
        <w:tblW w:w="0" w:type="auto"/>
        <w:tblLook w:val="04A0" w:firstRow="1" w:lastRow="0" w:firstColumn="1" w:lastColumn="0" w:noHBand="0" w:noVBand="1"/>
      </w:tblPr>
      <w:tblGrid>
        <w:gridCol w:w="9631"/>
      </w:tblGrid>
      <w:tr w:rsidR="00B37C9D" w14:paraId="26167BB1" w14:textId="77777777" w:rsidTr="00B37C9D">
        <w:tc>
          <w:tcPr>
            <w:tcW w:w="9631" w:type="dxa"/>
          </w:tcPr>
          <w:p w14:paraId="22A88FF8" w14:textId="77777777" w:rsidR="00B37C9D" w:rsidRPr="00E7339E" w:rsidRDefault="00B37C9D" w:rsidP="00007CF0">
            <w:pPr>
              <w:rPr>
                <w:sz w:val="16"/>
                <w:szCs w:val="16"/>
                <w:lang w:val="sv-SE"/>
              </w:rPr>
            </w:pPr>
            <w:r w:rsidRPr="00E7339E">
              <w:rPr>
                <w:sz w:val="16"/>
                <w:szCs w:val="16"/>
                <w:lang w:val="sv-SE"/>
              </w:rPr>
              <w:t>Occupied bandwidth for CA</w:t>
            </w:r>
          </w:p>
          <w:p w14:paraId="37A7D3B8" w14:textId="77777777" w:rsidR="00B37C9D" w:rsidRPr="00E7339E" w:rsidRDefault="00B37C9D" w:rsidP="00007CF0">
            <w:pPr>
              <w:pStyle w:val="B1"/>
              <w:spacing w:after="0"/>
              <w:rPr>
                <w:sz w:val="16"/>
                <w:szCs w:val="16"/>
              </w:rPr>
            </w:pPr>
            <w:r w:rsidRPr="00E7339E">
              <w:rPr>
                <w:sz w:val="16"/>
                <w:szCs w:val="16"/>
              </w:rPr>
              <w:t>-</w:t>
            </w:r>
            <w:r w:rsidRPr="00E7339E">
              <w:rPr>
                <w:sz w:val="16"/>
                <w:szCs w:val="16"/>
              </w:rPr>
              <w:tab/>
              <w:t>As described in [4], the requirement for occupied bandwidth for CA is:</w:t>
            </w:r>
          </w:p>
          <w:p w14:paraId="3C71FD48" w14:textId="77777777" w:rsidR="00B37C9D" w:rsidRPr="00E7339E" w:rsidRDefault="00B37C9D" w:rsidP="00007CF0">
            <w:pPr>
              <w:pStyle w:val="B2"/>
              <w:spacing w:after="0"/>
              <w:rPr>
                <w:sz w:val="16"/>
                <w:szCs w:val="16"/>
              </w:rPr>
            </w:pPr>
            <w:r w:rsidRPr="00E7339E">
              <w:rPr>
                <w:sz w:val="16"/>
                <w:szCs w:val="16"/>
              </w:rPr>
              <w:t>-</w:t>
            </w:r>
            <w:r w:rsidRPr="00E7339E">
              <w:rPr>
                <w:sz w:val="16"/>
                <w:szCs w:val="16"/>
              </w:rPr>
              <w:tab/>
              <w:t>For intra-band non-contiguous carrier aggregation, the OBW requirement is met when the ratio of the transmitted power in all sub-blocks of the uplink CA configuration to the total integrated power of the transmitted spectrum is greater than 99%.</w:t>
            </w:r>
          </w:p>
          <w:p w14:paraId="7C0E78E9" w14:textId="77777777" w:rsidR="00B37C9D" w:rsidRPr="00E7339E" w:rsidRDefault="00B37C9D" w:rsidP="00007CF0">
            <w:pPr>
              <w:pStyle w:val="B1"/>
              <w:spacing w:after="0"/>
              <w:rPr>
                <w:sz w:val="16"/>
                <w:szCs w:val="16"/>
              </w:rPr>
            </w:pPr>
            <w:r w:rsidRPr="00E7339E">
              <w:rPr>
                <w:sz w:val="16"/>
                <w:szCs w:val="16"/>
              </w:rPr>
              <w:t>-</w:t>
            </w:r>
            <w:r w:rsidRPr="00E7339E">
              <w:rPr>
                <w:sz w:val="16"/>
                <w:szCs w:val="16"/>
              </w:rPr>
              <w:tab/>
              <w:t>This agreement is captured in a TP to TR38.831</w:t>
            </w:r>
          </w:p>
          <w:p w14:paraId="524186F8" w14:textId="77777777" w:rsidR="00B37C9D" w:rsidRPr="00E7339E" w:rsidRDefault="00B37C9D" w:rsidP="00007CF0">
            <w:pPr>
              <w:rPr>
                <w:sz w:val="16"/>
                <w:szCs w:val="16"/>
              </w:rPr>
            </w:pPr>
            <w:r w:rsidRPr="00E7339E">
              <w:rPr>
                <w:sz w:val="16"/>
                <w:szCs w:val="16"/>
              </w:rPr>
              <w:t>Remaining issues with NC UL CA MPR</w:t>
            </w:r>
          </w:p>
          <w:p w14:paraId="36E3A98B" w14:textId="77777777" w:rsidR="00B37C9D" w:rsidRPr="00E7339E" w:rsidRDefault="00B37C9D" w:rsidP="00007CF0">
            <w:pPr>
              <w:pStyle w:val="B1"/>
              <w:spacing w:after="0"/>
              <w:rPr>
                <w:sz w:val="16"/>
                <w:szCs w:val="16"/>
              </w:rPr>
            </w:pPr>
            <w:r w:rsidRPr="00E7339E">
              <w:rPr>
                <w:sz w:val="16"/>
                <w:szCs w:val="16"/>
              </w:rPr>
              <w:t>-</w:t>
            </w:r>
            <w:r w:rsidRPr="00E7339E">
              <w:rPr>
                <w:sz w:val="16"/>
                <w:szCs w:val="16"/>
              </w:rPr>
              <w:tab/>
              <w:t>Emissions in the spurious domain shall be taken into account in the NC UL CA MPR requirement</w:t>
            </w:r>
          </w:p>
          <w:p w14:paraId="56EBFDFB" w14:textId="77777777" w:rsidR="00B37C9D" w:rsidRPr="00E7339E" w:rsidRDefault="00B37C9D" w:rsidP="00007CF0">
            <w:pPr>
              <w:pStyle w:val="B1"/>
              <w:spacing w:after="0"/>
              <w:rPr>
                <w:sz w:val="16"/>
                <w:szCs w:val="16"/>
              </w:rPr>
            </w:pPr>
            <w:r w:rsidRPr="00E7339E">
              <w:rPr>
                <w:sz w:val="16"/>
                <w:szCs w:val="16"/>
              </w:rPr>
              <w:t>-</w:t>
            </w:r>
            <w:r w:rsidRPr="00E7339E">
              <w:rPr>
                <w:sz w:val="16"/>
                <w:szCs w:val="16"/>
              </w:rPr>
              <w:tab/>
              <w:t>Number of gaps between sub-blocks shall be at least 1</w:t>
            </w:r>
          </w:p>
          <w:p w14:paraId="367B60C6" w14:textId="77777777" w:rsidR="00B37C9D" w:rsidRPr="00E7339E" w:rsidRDefault="00B37C9D" w:rsidP="00007CF0">
            <w:pPr>
              <w:rPr>
                <w:sz w:val="16"/>
                <w:szCs w:val="16"/>
              </w:rPr>
            </w:pPr>
            <w:r w:rsidRPr="00E7339E">
              <w:rPr>
                <w:sz w:val="16"/>
                <w:szCs w:val="16"/>
              </w:rPr>
              <w:t>Non-simultaneous uplink in NC carriers (1)</w:t>
            </w:r>
          </w:p>
          <w:p w14:paraId="363C568F" w14:textId="77777777" w:rsidR="00B37C9D" w:rsidRPr="00E7339E" w:rsidRDefault="00B37C9D" w:rsidP="00007CF0">
            <w:pPr>
              <w:pStyle w:val="B1"/>
              <w:spacing w:after="0"/>
              <w:rPr>
                <w:sz w:val="16"/>
                <w:szCs w:val="16"/>
              </w:rPr>
            </w:pPr>
            <w:r w:rsidRPr="00E7339E">
              <w:rPr>
                <w:sz w:val="16"/>
                <w:szCs w:val="16"/>
              </w:rPr>
              <w:t>-</w:t>
            </w:r>
            <w:r w:rsidRPr="00E7339E">
              <w:rPr>
                <w:sz w:val="16"/>
                <w:szCs w:val="16"/>
              </w:rPr>
              <w:tab/>
              <w:t>Definitions</w:t>
            </w:r>
          </w:p>
          <w:p w14:paraId="43D1827E" w14:textId="77777777" w:rsidR="00B37C9D" w:rsidRPr="00E7339E" w:rsidRDefault="00B37C9D" w:rsidP="00007CF0">
            <w:pPr>
              <w:pStyle w:val="B2"/>
              <w:spacing w:after="0"/>
              <w:rPr>
                <w:sz w:val="16"/>
                <w:szCs w:val="16"/>
              </w:rPr>
            </w:pPr>
            <w:r w:rsidRPr="00E7339E">
              <w:rPr>
                <w:sz w:val="16"/>
                <w:szCs w:val="16"/>
              </w:rPr>
              <w:t>-</w:t>
            </w:r>
            <w:r w:rsidRPr="00E7339E">
              <w:rPr>
                <w:sz w:val="16"/>
                <w:szCs w:val="16"/>
              </w:rPr>
              <w:tab/>
              <w:t>Simultaneous operation refers to active and allocated UL CCs in multiple non-contiguous sub-blocks</w:t>
            </w:r>
          </w:p>
          <w:p w14:paraId="5787EDBE" w14:textId="77777777" w:rsidR="00B37C9D" w:rsidRPr="00E7339E" w:rsidRDefault="00B37C9D" w:rsidP="00007CF0">
            <w:pPr>
              <w:pStyle w:val="B2"/>
              <w:spacing w:after="0"/>
              <w:rPr>
                <w:sz w:val="16"/>
                <w:szCs w:val="16"/>
              </w:rPr>
            </w:pPr>
            <w:r w:rsidRPr="00E7339E">
              <w:rPr>
                <w:sz w:val="16"/>
                <w:szCs w:val="16"/>
              </w:rPr>
              <w:t>-</w:t>
            </w:r>
            <w:r w:rsidRPr="00E7339E">
              <w:rPr>
                <w:sz w:val="16"/>
                <w:szCs w:val="16"/>
              </w:rPr>
              <w:tab/>
              <w:t>Non-simultaneous operation refers to active and allocated UL CCs in a single sub-block of contiguous carriers</w:t>
            </w:r>
          </w:p>
          <w:p w14:paraId="14B8874A" w14:textId="77777777" w:rsidR="00B37C9D" w:rsidRPr="00E7339E" w:rsidRDefault="00B37C9D" w:rsidP="00007CF0">
            <w:pPr>
              <w:pStyle w:val="B1"/>
              <w:spacing w:after="0"/>
              <w:rPr>
                <w:sz w:val="16"/>
                <w:szCs w:val="16"/>
              </w:rPr>
            </w:pPr>
            <w:r w:rsidRPr="00E7339E">
              <w:rPr>
                <w:sz w:val="16"/>
                <w:szCs w:val="16"/>
              </w:rPr>
              <w:t>-</w:t>
            </w:r>
            <w:r w:rsidRPr="00E7339E">
              <w:rPr>
                <w:sz w:val="16"/>
                <w:szCs w:val="16"/>
              </w:rPr>
              <w:tab/>
              <w:t>Proposed mechanisms to enable non-simultaneous operation</w:t>
            </w:r>
          </w:p>
          <w:p w14:paraId="062ADFA1" w14:textId="77777777" w:rsidR="00B37C9D" w:rsidRPr="00E7339E" w:rsidRDefault="00B37C9D" w:rsidP="00007CF0">
            <w:pPr>
              <w:pStyle w:val="B2"/>
              <w:spacing w:after="0"/>
              <w:rPr>
                <w:sz w:val="16"/>
                <w:szCs w:val="16"/>
              </w:rPr>
            </w:pPr>
            <w:r w:rsidRPr="00E7339E">
              <w:rPr>
                <w:sz w:val="16"/>
                <w:szCs w:val="16"/>
              </w:rPr>
              <w:t>-</w:t>
            </w:r>
            <w:r w:rsidRPr="00E7339E">
              <w:rPr>
                <w:sz w:val="16"/>
                <w:szCs w:val="16"/>
              </w:rPr>
              <w:tab/>
              <w:t>Alt.1: apply the BWP switching framework</w:t>
            </w:r>
          </w:p>
          <w:p w14:paraId="35D1CA61" w14:textId="77777777" w:rsidR="00B37C9D" w:rsidRPr="00E7339E" w:rsidRDefault="00B37C9D" w:rsidP="00007CF0">
            <w:pPr>
              <w:pStyle w:val="B3"/>
              <w:spacing w:after="0"/>
              <w:rPr>
                <w:sz w:val="16"/>
                <w:szCs w:val="16"/>
              </w:rPr>
            </w:pPr>
            <w:r w:rsidRPr="00E7339E">
              <w:rPr>
                <w:sz w:val="16"/>
                <w:szCs w:val="16"/>
              </w:rPr>
              <w:t>-</w:t>
            </w:r>
            <w:r w:rsidRPr="00E7339E">
              <w:rPr>
                <w:sz w:val="16"/>
                <w:szCs w:val="16"/>
              </w:rPr>
              <w:tab/>
              <w:t>DCI-based, RRC-based, and timer-based scenarios are not precluded</w:t>
            </w:r>
          </w:p>
          <w:p w14:paraId="4C4DA921" w14:textId="77777777" w:rsidR="00B37C9D" w:rsidRPr="00E7339E" w:rsidRDefault="00B37C9D" w:rsidP="00007CF0">
            <w:pPr>
              <w:pStyle w:val="B2"/>
              <w:spacing w:after="0"/>
              <w:rPr>
                <w:sz w:val="16"/>
                <w:szCs w:val="16"/>
              </w:rPr>
            </w:pPr>
            <w:r w:rsidRPr="00E7339E">
              <w:rPr>
                <w:sz w:val="16"/>
                <w:szCs w:val="16"/>
              </w:rPr>
              <w:t>-</w:t>
            </w:r>
            <w:r w:rsidRPr="00E7339E">
              <w:rPr>
                <w:sz w:val="16"/>
                <w:szCs w:val="16"/>
              </w:rPr>
              <w:tab/>
              <w:t>Alt.2: apply the MAC CE based SCell activation framework</w:t>
            </w:r>
          </w:p>
          <w:p w14:paraId="5A5E322D" w14:textId="77777777" w:rsidR="00B37C9D" w:rsidRPr="00E7339E" w:rsidRDefault="00B37C9D" w:rsidP="00007CF0">
            <w:pPr>
              <w:pStyle w:val="B3"/>
              <w:spacing w:after="0"/>
              <w:rPr>
                <w:sz w:val="16"/>
                <w:szCs w:val="16"/>
              </w:rPr>
            </w:pPr>
            <w:r w:rsidRPr="00E7339E">
              <w:rPr>
                <w:sz w:val="16"/>
                <w:szCs w:val="16"/>
              </w:rPr>
              <w:t>-</w:t>
            </w:r>
            <w:r w:rsidRPr="00E7339E">
              <w:rPr>
                <w:sz w:val="16"/>
                <w:szCs w:val="16"/>
              </w:rPr>
              <w:tab/>
              <w:t>UL and DL are activated and deactivated together</w:t>
            </w:r>
          </w:p>
          <w:p w14:paraId="6AB7C45B" w14:textId="77777777" w:rsidR="00B37C9D" w:rsidRPr="00E7339E" w:rsidRDefault="00B37C9D" w:rsidP="00007CF0">
            <w:pPr>
              <w:pStyle w:val="B2"/>
              <w:spacing w:after="0"/>
              <w:rPr>
                <w:sz w:val="16"/>
                <w:szCs w:val="16"/>
              </w:rPr>
            </w:pPr>
            <w:r w:rsidRPr="00E7339E">
              <w:rPr>
                <w:sz w:val="16"/>
                <w:szCs w:val="16"/>
              </w:rPr>
              <w:t>-</w:t>
            </w:r>
            <w:r w:rsidRPr="00E7339E">
              <w:rPr>
                <w:sz w:val="16"/>
                <w:szCs w:val="16"/>
              </w:rPr>
              <w:tab/>
              <w:t>Alt.3: apply the RRC based SCell configuration framework</w:t>
            </w:r>
          </w:p>
          <w:p w14:paraId="26F4D95C" w14:textId="77777777" w:rsidR="00B37C9D" w:rsidRPr="00E7339E" w:rsidRDefault="00B37C9D" w:rsidP="00007CF0">
            <w:pPr>
              <w:pStyle w:val="B3"/>
              <w:spacing w:after="0"/>
              <w:rPr>
                <w:sz w:val="16"/>
                <w:szCs w:val="16"/>
              </w:rPr>
            </w:pPr>
            <w:r w:rsidRPr="00E7339E">
              <w:rPr>
                <w:sz w:val="16"/>
                <w:szCs w:val="16"/>
              </w:rPr>
              <w:t>-</w:t>
            </w:r>
            <w:r w:rsidRPr="00E7339E">
              <w:rPr>
                <w:sz w:val="16"/>
                <w:szCs w:val="16"/>
              </w:rPr>
              <w:tab/>
              <w:t>Only Alt.3 is applicable to SA FR2+FR2 CA or NSA LTE+FR2+FR2 DC scenarios</w:t>
            </w:r>
          </w:p>
          <w:p w14:paraId="1A437365" w14:textId="77777777" w:rsidR="00B37C9D" w:rsidRPr="00E7339E" w:rsidRDefault="00B37C9D" w:rsidP="00007CF0">
            <w:pPr>
              <w:rPr>
                <w:sz w:val="16"/>
                <w:szCs w:val="16"/>
              </w:rPr>
            </w:pPr>
          </w:p>
          <w:p w14:paraId="28AE9C6B" w14:textId="77777777" w:rsidR="00B37C9D" w:rsidRPr="00E7339E" w:rsidRDefault="00B37C9D" w:rsidP="00007CF0">
            <w:pPr>
              <w:jc w:val="center"/>
              <w:rPr>
                <w:sz w:val="16"/>
                <w:szCs w:val="16"/>
              </w:rPr>
            </w:pPr>
            <w:r w:rsidRPr="00E7339E">
              <w:rPr>
                <w:noProof/>
                <w:sz w:val="16"/>
                <w:szCs w:val="16"/>
              </w:rPr>
              <w:lastRenderedPageBreak/>
              <w:drawing>
                <wp:inline distT="0" distB="0" distL="0" distR="0" wp14:anchorId="251561F0" wp14:editId="7B79D099">
                  <wp:extent cx="3200400" cy="3631281"/>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00400" cy="3631281"/>
                          </a:xfrm>
                          <a:prstGeom prst="rect">
                            <a:avLst/>
                          </a:prstGeom>
                        </pic:spPr>
                      </pic:pic>
                    </a:graphicData>
                  </a:graphic>
                </wp:inline>
              </w:drawing>
            </w:r>
          </w:p>
          <w:p w14:paraId="4DB38D96" w14:textId="77777777" w:rsidR="00B37C9D" w:rsidRPr="00E7339E" w:rsidRDefault="00B37C9D" w:rsidP="00007CF0">
            <w:pPr>
              <w:rPr>
                <w:sz w:val="16"/>
                <w:szCs w:val="16"/>
              </w:rPr>
            </w:pPr>
          </w:p>
          <w:p w14:paraId="7C4B8FBA" w14:textId="77777777" w:rsidR="00B37C9D" w:rsidRPr="00E7339E" w:rsidRDefault="00B37C9D" w:rsidP="00007CF0">
            <w:pPr>
              <w:rPr>
                <w:sz w:val="16"/>
                <w:szCs w:val="16"/>
              </w:rPr>
            </w:pPr>
            <w:r w:rsidRPr="00E7339E">
              <w:rPr>
                <w:sz w:val="16"/>
                <w:szCs w:val="16"/>
              </w:rPr>
              <w:t>Non-simultaneous uplink in NC carriers (2)</w:t>
            </w:r>
          </w:p>
          <w:p w14:paraId="79D5C369" w14:textId="77777777" w:rsidR="00B37C9D" w:rsidRPr="00E7339E" w:rsidRDefault="00B37C9D" w:rsidP="00007CF0">
            <w:pPr>
              <w:pStyle w:val="B1"/>
              <w:spacing w:after="0"/>
              <w:rPr>
                <w:sz w:val="16"/>
                <w:szCs w:val="16"/>
              </w:rPr>
            </w:pPr>
            <w:r w:rsidRPr="00E7339E">
              <w:rPr>
                <w:sz w:val="16"/>
                <w:szCs w:val="16"/>
              </w:rPr>
              <w:t>-</w:t>
            </w:r>
            <w:r w:rsidRPr="00E7339E">
              <w:rPr>
                <w:sz w:val="16"/>
                <w:szCs w:val="16"/>
              </w:rPr>
              <w:tab/>
              <w:t>RAN4 will further study the benefit of non-simultaneous UL in non-contiguous carriers from the points of view of improved output power due to reduced MPR and reduced power consumption, e.g., FR1 (pcell) + FR2 (scells) configuration</w:t>
            </w:r>
          </w:p>
          <w:p w14:paraId="18B68244" w14:textId="77777777" w:rsidR="00B37C9D" w:rsidRPr="00E7339E" w:rsidRDefault="00B37C9D" w:rsidP="00007CF0">
            <w:pPr>
              <w:pStyle w:val="B1"/>
              <w:spacing w:after="0"/>
              <w:rPr>
                <w:sz w:val="16"/>
                <w:szCs w:val="16"/>
              </w:rPr>
            </w:pPr>
            <w:r w:rsidRPr="00E7339E">
              <w:rPr>
                <w:sz w:val="16"/>
                <w:szCs w:val="16"/>
              </w:rPr>
              <w:t>-</w:t>
            </w:r>
            <w:r w:rsidRPr="00E7339E">
              <w:rPr>
                <w:sz w:val="16"/>
                <w:szCs w:val="16"/>
              </w:rPr>
              <w:tab/>
              <w:t>RAN4 will further study the feasibility of non-simultaneous UL in non-contiguous carriers</w:t>
            </w:r>
          </w:p>
          <w:p w14:paraId="2CB02C91" w14:textId="77777777" w:rsidR="00B37C9D" w:rsidRPr="00E7339E" w:rsidRDefault="00B37C9D" w:rsidP="00007CF0">
            <w:pPr>
              <w:pStyle w:val="B1"/>
              <w:spacing w:after="0"/>
              <w:rPr>
                <w:sz w:val="16"/>
                <w:szCs w:val="16"/>
              </w:rPr>
            </w:pPr>
            <w:r w:rsidRPr="00E7339E">
              <w:rPr>
                <w:sz w:val="16"/>
                <w:szCs w:val="16"/>
              </w:rPr>
              <w:t>-</w:t>
            </w:r>
            <w:r w:rsidRPr="00E7339E">
              <w:rPr>
                <w:sz w:val="16"/>
                <w:szCs w:val="16"/>
              </w:rPr>
              <w:tab/>
              <w:t xml:space="preserve">The switching mechanism shall be down-selected between Alt.1, Alt.2, and Alt.3 during the RAN #93 meeting. </w:t>
            </w:r>
          </w:p>
          <w:p w14:paraId="7DAA838C" w14:textId="77777777" w:rsidR="00B37C9D" w:rsidRPr="00E7339E" w:rsidRDefault="00B37C9D" w:rsidP="00007CF0">
            <w:pPr>
              <w:pStyle w:val="B2"/>
              <w:spacing w:after="0"/>
              <w:rPr>
                <w:sz w:val="16"/>
                <w:szCs w:val="16"/>
              </w:rPr>
            </w:pPr>
            <w:r w:rsidRPr="00E7339E">
              <w:rPr>
                <w:sz w:val="16"/>
                <w:szCs w:val="16"/>
              </w:rPr>
              <w:t>-</w:t>
            </w:r>
            <w:r w:rsidRPr="00E7339E">
              <w:rPr>
                <w:sz w:val="16"/>
                <w:szCs w:val="16"/>
              </w:rPr>
              <w:tab/>
              <w:t>Other options are not precluded</w:t>
            </w:r>
          </w:p>
          <w:p w14:paraId="1185A000" w14:textId="77777777" w:rsidR="00B37C9D" w:rsidRPr="00E7339E" w:rsidRDefault="00B37C9D" w:rsidP="00007CF0">
            <w:pPr>
              <w:rPr>
                <w:sz w:val="16"/>
                <w:szCs w:val="16"/>
              </w:rPr>
            </w:pPr>
            <w:r w:rsidRPr="00E7339E">
              <w:rPr>
                <w:sz w:val="16"/>
                <w:szCs w:val="16"/>
              </w:rPr>
              <w:t>Signaling aspects</w:t>
            </w:r>
          </w:p>
          <w:p w14:paraId="4E57E981" w14:textId="77777777" w:rsidR="00B37C9D" w:rsidRPr="00E7339E" w:rsidRDefault="00B37C9D" w:rsidP="00007CF0">
            <w:pPr>
              <w:pStyle w:val="B1"/>
              <w:spacing w:after="0"/>
              <w:rPr>
                <w:sz w:val="16"/>
                <w:szCs w:val="16"/>
              </w:rPr>
            </w:pPr>
            <w:r w:rsidRPr="00E7339E">
              <w:rPr>
                <w:sz w:val="16"/>
                <w:szCs w:val="16"/>
              </w:rPr>
              <w:t>-</w:t>
            </w:r>
            <w:r w:rsidRPr="00E7339E">
              <w:rPr>
                <w:sz w:val="16"/>
                <w:szCs w:val="16"/>
              </w:rPr>
              <w:tab/>
              <w:t>TS38.101-2 defines three frequency separation classes</w:t>
            </w:r>
          </w:p>
          <w:p w14:paraId="1DA5DAF9" w14:textId="77777777" w:rsidR="00B37C9D" w:rsidRPr="00E7339E" w:rsidRDefault="00B37C9D" w:rsidP="00007CF0">
            <w:pPr>
              <w:pStyle w:val="B2"/>
              <w:spacing w:after="0"/>
              <w:rPr>
                <w:sz w:val="16"/>
                <w:szCs w:val="16"/>
              </w:rPr>
            </w:pPr>
            <w:r w:rsidRPr="00E7339E">
              <w:rPr>
                <w:sz w:val="16"/>
                <w:szCs w:val="16"/>
              </w:rPr>
              <w:t>-</w:t>
            </w:r>
            <w:r w:rsidRPr="00E7339E">
              <w:rPr>
                <w:sz w:val="16"/>
                <w:szCs w:val="16"/>
              </w:rPr>
              <w:tab/>
              <w:t>The UE can signal intraBandFreqSeparationDL and intraBandFreqSeparationUL separately [see TS38.306]</w:t>
            </w:r>
          </w:p>
          <w:p w14:paraId="7ECE4584" w14:textId="77777777" w:rsidR="00B37C9D" w:rsidRPr="00E7339E" w:rsidRDefault="00B37C9D" w:rsidP="00007CF0">
            <w:pPr>
              <w:pStyle w:val="B1"/>
              <w:spacing w:after="0"/>
              <w:rPr>
                <w:sz w:val="16"/>
                <w:szCs w:val="16"/>
              </w:rPr>
            </w:pPr>
            <w:r w:rsidRPr="00E7339E">
              <w:rPr>
                <w:sz w:val="16"/>
                <w:szCs w:val="16"/>
              </w:rPr>
              <w:t>-</w:t>
            </w:r>
            <w:r w:rsidRPr="00E7339E">
              <w:rPr>
                <w:sz w:val="16"/>
                <w:szCs w:val="16"/>
              </w:rPr>
              <w:tab/>
              <w:t>Frequency separation classes I, II, III are applicable for FR2 UL CA (simultaneous uplink operation) in Rel-16</w:t>
            </w:r>
          </w:p>
          <w:p w14:paraId="715A08F4" w14:textId="7AFD5059" w:rsidR="00B37C9D" w:rsidRPr="00E7339E" w:rsidRDefault="00B37C9D" w:rsidP="00007CF0">
            <w:pPr>
              <w:pStyle w:val="B2"/>
              <w:spacing w:after="0"/>
              <w:rPr>
                <w:sz w:val="16"/>
                <w:szCs w:val="16"/>
              </w:rPr>
            </w:pPr>
            <w:r w:rsidRPr="00E7339E">
              <w:rPr>
                <w:sz w:val="16"/>
                <w:szCs w:val="16"/>
              </w:rPr>
              <w:t>-</w:t>
            </w:r>
            <w:r w:rsidRPr="00E7339E">
              <w:rPr>
                <w:sz w:val="16"/>
                <w:szCs w:val="16"/>
              </w:rPr>
              <w:tab/>
              <w:t>Whether Fs ≤ 2400 MHz can be applicable to FR2 UL CA with non-simultaneous uplink operation is FFS</w:t>
            </w:r>
          </w:p>
        </w:tc>
      </w:tr>
    </w:tbl>
    <w:p w14:paraId="168004DC" w14:textId="77777777" w:rsidR="00B37C9D" w:rsidRDefault="00B37C9D" w:rsidP="00CB4975"/>
    <w:p w14:paraId="2AAC5EA7" w14:textId="5CBCA665" w:rsidR="004169CB" w:rsidRDefault="00FF0621" w:rsidP="00CB4975">
      <w:r>
        <w:t xml:space="preserve">This contribution </w:t>
      </w:r>
      <w:r w:rsidR="00FA5CDE">
        <w:t xml:space="preserve">considers the remaining issues related to the study of the </w:t>
      </w:r>
      <w:r>
        <w:t>feasibility of carrier switching to support non-simultaneous uplink of non-contiguous carriers</w:t>
      </w:r>
      <w:r w:rsidR="00FA5CDE">
        <w:t xml:space="preserve"> in light of the Rel-16 timeline</w:t>
      </w:r>
      <w:r>
        <w:t>.</w:t>
      </w:r>
    </w:p>
    <w:p w14:paraId="3A67921B" w14:textId="5FCD5D11" w:rsidR="008E7986" w:rsidRDefault="008E7986" w:rsidP="008E7986">
      <w:pPr>
        <w:pStyle w:val="Heading1"/>
      </w:pPr>
      <w:r>
        <w:t>2</w:t>
      </w:r>
      <w:r>
        <w:tab/>
      </w:r>
      <w:r w:rsidR="00FF0621">
        <w:t>Discussion</w:t>
      </w:r>
      <w:r>
        <w:t xml:space="preserve"> </w:t>
      </w:r>
    </w:p>
    <w:p w14:paraId="10E0CCB0" w14:textId="7C805D41" w:rsidR="00FA5CDE" w:rsidRDefault="00FA5CDE" w:rsidP="00E72324">
      <w:r>
        <w:t xml:space="preserve">In a contribution to RAN4 #94e-bis we had summarized the current status of the proposed carrier switching feature to support non-simultaneous uplink of non-contiguous carriers </w:t>
      </w:r>
      <w:r>
        <w:fldChar w:fldCharType="begin"/>
      </w:r>
      <w:r>
        <w:instrText xml:space="preserve"> REF _Ref40340559 \r \h </w:instrText>
      </w:r>
      <w:r>
        <w:fldChar w:fldCharType="separate"/>
      </w:r>
      <w:r w:rsidR="00D705A3">
        <w:t>[4]</w:t>
      </w:r>
      <w:r>
        <w:fldChar w:fldCharType="end"/>
      </w:r>
      <w:r>
        <w:t xml:space="preserve">.  The following company feedback was captured during the email discussion </w:t>
      </w:r>
      <w:r>
        <w:fldChar w:fldCharType="begin"/>
      </w:r>
      <w:r>
        <w:instrText xml:space="preserve"> REF _Ref40340708 \r \h </w:instrText>
      </w:r>
      <w:r>
        <w:fldChar w:fldCharType="separate"/>
      </w:r>
      <w:r w:rsidR="00D705A3">
        <w:t>[5]</w:t>
      </w:r>
      <w:r>
        <w:fldChar w:fldCharType="end"/>
      </w:r>
      <w:r>
        <w:t xml:space="preserve"> (an excerpt of the summary relevant to the NSU topic is provided below):</w:t>
      </w:r>
    </w:p>
    <w:p w14:paraId="5AF0DA98" w14:textId="64FEDE12" w:rsidR="00FA5CDE" w:rsidRDefault="00FA5CDE" w:rsidP="00E72324"/>
    <w:p w14:paraId="595A2494" w14:textId="77777777" w:rsidR="00FA5CDE" w:rsidRPr="003F274F" w:rsidRDefault="00FA5CDE" w:rsidP="00FA5CDE">
      <w:pPr>
        <w:rPr>
          <w:b/>
          <w:u w:val="single"/>
          <w:lang w:eastAsia="ko-KR"/>
        </w:rPr>
      </w:pPr>
      <w:r w:rsidRPr="003F274F">
        <w:rPr>
          <w:b/>
          <w:u w:val="single"/>
          <w:lang w:eastAsia="ko-KR"/>
        </w:rPr>
        <w:t>Issue 1-1-1: Feasibility of NSU in REL-16</w:t>
      </w:r>
    </w:p>
    <w:p w14:paraId="723A20B2" w14:textId="77777777" w:rsidR="00FA5CDE" w:rsidRPr="003F274F" w:rsidRDefault="00FA5CDE" w:rsidP="00FA5CDE">
      <w:pPr>
        <w:pStyle w:val="ListParagraph"/>
        <w:numPr>
          <w:ilvl w:val="0"/>
          <w:numId w:val="9"/>
        </w:numPr>
        <w:overflowPunct/>
        <w:autoSpaceDE/>
        <w:autoSpaceDN/>
        <w:adjustRightInd/>
        <w:spacing w:after="120"/>
        <w:ind w:left="720" w:firstLineChars="0"/>
        <w:textAlignment w:val="auto"/>
        <w:rPr>
          <w:rFonts w:eastAsia="SimSun"/>
          <w:szCs w:val="24"/>
          <w:lang w:eastAsia="zh-CN"/>
        </w:rPr>
      </w:pPr>
      <w:r w:rsidRPr="003F274F">
        <w:rPr>
          <w:rFonts w:eastAsia="SimSun"/>
          <w:szCs w:val="24"/>
          <w:lang w:eastAsia="zh-CN"/>
        </w:rPr>
        <w:t>Proposals</w:t>
      </w:r>
    </w:p>
    <w:p w14:paraId="3B055230" w14:textId="77777777" w:rsidR="00FA5CDE" w:rsidRPr="003F274F" w:rsidRDefault="00FA5CDE" w:rsidP="00FA5CDE">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sidRPr="003F274F">
        <w:rPr>
          <w:rFonts w:eastAsia="SimSun"/>
          <w:szCs w:val="24"/>
          <w:lang w:eastAsia="zh-CN"/>
        </w:rPr>
        <w:t>Option 1: For SA CA scenarios FR1 (PCell) + FR2 (SCells) and EN-DC scenarios LTE (PCell) + FR1 (PScell) + FR2 (SCells), RAN4 confirms the feasibility of non-simultaneous Tx for FR2 intra-band NC UL CA and agrees to introduce a capability for the UE indicate to the network that it only supports non-simultaneous UL operation in NC UL CA.</w:t>
      </w:r>
    </w:p>
    <w:p w14:paraId="562EC949" w14:textId="77777777" w:rsidR="00FA5CDE" w:rsidRPr="003F274F" w:rsidRDefault="00FA5CDE" w:rsidP="00FA5CDE">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sidRPr="003F274F">
        <w:rPr>
          <w:rFonts w:eastAsia="SimSun"/>
          <w:szCs w:val="24"/>
          <w:lang w:eastAsia="zh-CN"/>
        </w:rPr>
        <w:t>Option 2: RAN4 can confirm the feasibiilty of the NSU feature from the RF perspective in order to allow the RRM work to begin. RAN4 RRM can conclude on aspects related to capability signaling and switching mechanism.</w:t>
      </w:r>
    </w:p>
    <w:p w14:paraId="5BECEB28" w14:textId="77777777" w:rsidR="00FA5CDE" w:rsidRPr="003F274F" w:rsidRDefault="00FA5CDE" w:rsidP="00FA5CDE">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sidRPr="003F274F">
        <w:rPr>
          <w:rFonts w:eastAsia="SimSun"/>
          <w:szCs w:val="24"/>
          <w:lang w:eastAsia="zh-CN"/>
        </w:rPr>
        <w:t>Option 3: NSU is not part of REL-16</w:t>
      </w:r>
    </w:p>
    <w:p w14:paraId="2B063E1E" w14:textId="77777777" w:rsidR="00FA5CDE" w:rsidRPr="003F274F" w:rsidRDefault="00FA5CDE" w:rsidP="00FA5CDE">
      <w:pPr>
        <w:pStyle w:val="ListParagraph"/>
        <w:numPr>
          <w:ilvl w:val="0"/>
          <w:numId w:val="9"/>
        </w:numPr>
        <w:overflowPunct/>
        <w:autoSpaceDE/>
        <w:autoSpaceDN/>
        <w:adjustRightInd/>
        <w:spacing w:after="120"/>
        <w:ind w:left="720" w:firstLineChars="0"/>
        <w:textAlignment w:val="auto"/>
        <w:rPr>
          <w:rFonts w:eastAsia="SimSun"/>
          <w:szCs w:val="24"/>
          <w:lang w:eastAsia="zh-CN"/>
        </w:rPr>
      </w:pPr>
      <w:r w:rsidRPr="003F274F">
        <w:rPr>
          <w:rFonts w:eastAsia="SimSun"/>
          <w:szCs w:val="24"/>
          <w:lang w:eastAsia="zh-CN"/>
        </w:rPr>
        <w:t>Recommended WF</w:t>
      </w:r>
    </w:p>
    <w:p w14:paraId="209A451D" w14:textId="7D80C88E" w:rsidR="00FA5CDE" w:rsidRPr="00FA5CDE" w:rsidRDefault="00FA5CDE" w:rsidP="00E72324">
      <w:pPr>
        <w:pStyle w:val="ListParagraph"/>
        <w:numPr>
          <w:ilvl w:val="1"/>
          <w:numId w:val="9"/>
        </w:numPr>
        <w:overflowPunct/>
        <w:autoSpaceDE/>
        <w:autoSpaceDN/>
        <w:adjustRightInd/>
        <w:spacing w:after="120"/>
        <w:ind w:left="1440" w:firstLineChars="0"/>
        <w:textAlignment w:val="auto"/>
        <w:rPr>
          <w:rFonts w:eastAsia="SimSun"/>
          <w:szCs w:val="24"/>
          <w:lang w:eastAsia="zh-CN"/>
        </w:rPr>
      </w:pPr>
      <w:r w:rsidRPr="003F274F">
        <w:rPr>
          <w:rFonts w:eastAsia="SimSun"/>
          <w:szCs w:val="24"/>
          <w:lang w:eastAsia="zh-CN"/>
        </w:rPr>
        <w:t>Depends on First round discussions</w:t>
      </w:r>
    </w:p>
    <w:p w14:paraId="6BAFFA88" w14:textId="592B2E83" w:rsidR="00FA5CDE" w:rsidRDefault="00FA5CDE" w:rsidP="00E72324"/>
    <w:tbl>
      <w:tblPr>
        <w:tblStyle w:val="TableGrid"/>
        <w:tblW w:w="0" w:type="auto"/>
        <w:tblLook w:val="04A0" w:firstRow="1" w:lastRow="0" w:firstColumn="1" w:lastColumn="0" w:noHBand="0" w:noVBand="1"/>
      </w:tblPr>
      <w:tblGrid>
        <w:gridCol w:w="1236"/>
        <w:gridCol w:w="8395"/>
      </w:tblGrid>
      <w:tr w:rsidR="00FA5CDE" w:rsidRPr="003F274F" w14:paraId="7070502B" w14:textId="77777777" w:rsidTr="00EE3E51">
        <w:tc>
          <w:tcPr>
            <w:tcW w:w="1236" w:type="dxa"/>
          </w:tcPr>
          <w:p w14:paraId="008CFDAB" w14:textId="77777777" w:rsidR="00FA5CDE" w:rsidRPr="003F274F" w:rsidRDefault="00FA5CDE" w:rsidP="00EE3E51">
            <w:pPr>
              <w:spacing w:after="120"/>
              <w:rPr>
                <w:rFonts w:eastAsiaTheme="minorEastAsia"/>
                <w:b/>
                <w:bCs/>
                <w:lang w:eastAsia="zh-CN"/>
              </w:rPr>
            </w:pPr>
            <w:r w:rsidRPr="003F274F">
              <w:rPr>
                <w:rFonts w:eastAsiaTheme="minorEastAsia"/>
                <w:b/>
                <w:bCs/>
                <w:lang w:eastAsia="zh-CN"/>
              </w:rPr>
              <w:lastRenderedPageBreak/>
              <w:t>Company</w:t>
            </w:r>
          </w:p>
        </w:tc>
        <w:tc>
          <w:tcPr>
            <w:tcW w:w="8395" w:type="dxa"/>
          </w:tcPr>
          <w:p w14:paraId="3BEC39C0" w14:textId="77777777" w:rsidR="00FA5CDE" w:rsidRPr="003F274F" w:rsidRDefault="00FA5CDE" w:rsidP="00EE3E51">
            <w:pPr>
              <w:spacing w:after="120"/>
              <w:rPr>
                <w:rFonts w:eastAsiaTheme="minorEastAsia"/>
                <w:b/>
                <w:bCs/>
                <w:lang w:eastAsia="zh-CN"/>
              </w:rPr>
            </w:pPr>
            <w:r w:rsidRPr="003F274F">
              <w:rPr>
                <w:rFonts w:eastAsiaTheme="minorEastAsia"/>
                <w:b/>
                <w:bCs/>
                <w:lang w:eastAsia="zh-CN"/>
              </w:rPr>
              <w:t>Comments</w:t>
            </w:r>
          </w:p>
        </w:tc>
      </w:tr>
      <w:tr w:rsidR="00FA5CDE" w:rsidRPr="003F274F" w14:paraId="5C83C28D" w14:textId="77777777" w:rsidTr="00EE3E51">
        <w:tc>
          <w:tcPr>
            <w:tcW w:w="1236" w:type="dxa"/>
          </w:tcPr>
          <w:p w14:paraId="1FC069A0" w14:textId="77777777" w:rsidR="00FA5CDE" w:rsidRPr="003F274F" w:rsidRDefault="00FA5CDE" w:rsidP="00EE3E51">
            <w:pPr>
              <w:spacing w:after="120"/>
              <w:rPr>
                <w:rFonts w:eastAsiaTheme="minorEastAsia"/>
                <w:lang w:eastAsia="zh-CN"/>
              </w:rPr>
            </w:pPr>
            <w:r w:rsidRPr="003F274F">
              <w:rPr>
                <w:rFonts w:eastAsiaTheme="minorEastAsia"/>
                <w:lang w:eastAsia="zh-CN"/>
              </w:rPr>
              <w:t>Intel</w:t>
            </w:r>
          </w:p>
        </w:tc>
        <w:tc>
          <w:tcPr>
            <w:tcW w:w="8395" w:type="dxa"/>
          </w:tcPr>
          <w:p w14:paraId="33A0D719" w14:textId="77777777" w:rsidR="00FA5CDE" w:rsidRPr="003F274F" w:rsidRDefault="00FA5CDE" w:rsidP="00EE3E51">
            <w:pPr>
              <w:spacing w:after="120"/>
              <w:rPr>
                <w:rFonts w:eastAsiaTheme="minorEastAsia"/>
                <w:lang w:eastAsia="zh-CN"/>
              </w:rPr>
            </w:pPr>
            <w:r w:rsidRPr="003F274F">
              <w:rPr>
                <w:rFonts w:eastAsiaTheme="minorEastAsia" w:hint="eastAsia"/>
                <w:lang w:eastAsia="zh-CN"/>
              </w:rPr>
              <w:t xml:space="preserve">Sub topic </w:t>
            </w:r>
            <w:r w:rsidRPr="003F274F">
              <w:rPr>
                <w:rFonts w:eastAsiaTheme="minorEastAsia"/>
                <w:lang w:eastAsia="zh-CN"/>
              </w:rPr>
              <w:t>1-</w:t>
            </w:r>
            <w:r w:rsidRPr="003F274F">
              <w:rPr>
                <w:rFonts w:eastAsiaTheme="minorEastAsia" w:hint="eastAsia"/>
                <w:lang w:eastAsia="zh-CN"/>
              </w:rPr>
              <w:t xml:space="preserve">1: </w:t>
            </w:r>
          </w:p>
          <w:p w14:paraId="3C68A7DC" w14:textId="77777777" w:rsidR="00FA5CDE" w:rsidRPr="003F274F" w:rsidRDefault="00FA5CDE" w:rsidP="00EE3E51">
            <w:pPr>
              <w:rPr>
                <w:b/>
                <w:u w:val="single"/>
                <w:lang w:eastAsia="ko-KR"/>
              </w:rPr>
            </w:pPr>
            <w:r w:rsidRPr="003F274F">
              <w:rPr>
                <w:b/>
                <w:u w:val="single"/>
                <w:lang w:eastAsia="ko-KR"/>
              </w:rPr>
              <w:t>Issue 1-1-1: Feasibility of NSU in REL-16</w:t>
            </w:r>
          </w:p>
          <w:p w14:paraId="7A8BB3F5" w14:textId="5038CB40" w:rsidR="00FA5CDE" w:rsidRPr="003F274F" w:rsidRDefault="00FA5CDE" w:rsidP="00EE3E51">
            <w:pPr>
              <w:spacing w:after="120"/>
              <w:rPr>
                <w:rFonts w:eastAsiaTheme="minorEastAsia"/>
                <w:lang w:eastAsia="zh-CN"/>
              </w:rPr>
            </w:pPr>
            <w:r w:rsidRPr="003F274F">
              <w:rPr>
                <w:rFonts w:eastAsiaTheme="minorEastAsia"/>
                <w:lang w:eastAsia="zh-CN"/>
              </w:rPr>
              <w:t>Option 1 and option 2</w:t>
            </w:r>
          </w:p>
        </w:tc>
      </w:tr>
      <w:tr w:rsidR="00FA5CDE" w:rsidRPr="003F274F" w14:paraId="0098F04A" w14:textId="77777777" w:rsidTr="00EE3E51">
        <w:tc>
          <w:tcPr>
            <w:tcW w:w="1236" w:type="dxa"/>
          </w:tcPr>
          <w:p w14:paraId="45CB8180" w14:textId="77777777" w:rsidR="00FA5CDE" w:rsidRPr="003F274F" w:rsidDel="003F577A" w:rsidRDefault="00FA5CDE" w:rsidP="00EE3E51">
            <w:pPr>
              <w:spacing w:after="120"/>
              <w:rPr>
                <w:rFonts w:eastAsiaTheme="minorEastAsia"/>
                <w:lang w:eastAsia="zh-CN"/>
              </w:rPr>
            </w:pPr>
            <w:r w:rsidRPr="003F274F">
              <w:rPr>
                <w:rFonts w:eastAsiaTheme="minorEastAsia" w:hint="eastAsia"/>
                <w:lang w:eastAsia="zh-CN"/>
              </w:rPr>
              <w:t>OPPO</w:t>
            </w:r>
          </w:p>
        </w:tc>
        <w:tc>
          <w:tcPr>
            <w:tcW w:w="8395" w:type="dxa"/>
          </w:tcPr>
          <w:p w14:paraId="2B33E305" w14:textId="77777777" w:rsidR="00FA5CDE" w:rsidRPr="003F274F" w:rsidRDefault="00FA5CDE" w:rsidP="00EE3E51">
            <w:pPr>
              <w:rPr>
                <w:rFonts w:eastAsia="Malgun Gothic"/>
                <w:b/>
                <w:u w:val="single"/>
                <w:lang w:eastAsia="ko-KR"/>
              </w:rPr>
            </w:pPr>
            <w:r w:rsidRPr="003F274F">
              <w:rPr>
                <w:b/>
                <w:u w:val="single"/>
                <w:lang w:eastAsia="ko-KR"/>
              </w:rPr>
              <w:t>Issue 1-1-1: Either option 1 or option 2</w:t>
            </w:r>
          </w:p>
        </w:tc>
      </w:tr>
      <w:tr w:rsidR="00FA5CDE" w:rsidRPr="003F274F" w14:paraId="042982E3" w14:textId="77777777" w:rsidTr="00EE3E51">
        <w:tc>
          <w:tcPr>
            <w:tcW w:w="1236" w:type="dxa"/>
          </w:tcPr>
          <w:p w14:paraId="06470693" w14:textId="77777777" w:rsidR="00FA5CDE" w:rsidRPr="003F274F" w:rsidRDefault="00FA5CDE" w:rsidP="00EE3E51">
            <w:pPr>
              <w:spacing w:after="120"/>
              <w:rPr>
                <w:rFonts w:eastAsia="Malgun Gothic"/>
                <w:lang w:eastAsia="ko-KR"/>
              </w:rPr>
            </w:pPr>
            <w:r w:rsidRPr="003F274F">
              <w:rPr>
                <w:rFonts w:eastAsiaTheme="minorEastAsia" w:hint="eastAsia"/>
                <w:lang w:eastAsia="zh-CN"/>
              </w:rPr>
              <w:t>S</w:t>
            </w:r>
            <w:r w:rsidRPr="003F274F">
              <w:rPr>
                <w:rFonts w:eastAsiaTheme="minorEastAsia"/>
                <w:lang w:eastAsia="zh-CN"/>
              </w:rPr>
              <w:t>amsung</w:t>
            </w:r>
          </w:p>
        </w:tc>
        <w:tc>
          <w:tcPr>
            <w:tcW w:w="8395" w:type="dxa"/>
          </w:tcPr>
          <w:p w14:paraId="6DD3F803" w14:textId="77777777" w:rsidR="00FA5CDE" w:rsidRPr="003F274F" w:rsidRDefault="00FA5CDE" w:rsidP="00EE3E51">
            <w:pPr>
              <w:spacing w:after="120"/>
              <w:rPr>
                <w:rFonts w:eastAsiaTheme="minorEastAsia"/>
                <w:lang w:eastAsia="zh-CN"/>
              </w:rPr>
            </w:pPr>
            <w:r w:rsidRPr="003F274F">
              <w:rPr>
                <w:rFonts w:eastAsiaTheme="minorEastAsia" w:hint="eastAsia"/>
                <w:lang w:eastAsia="zh-CN"/>
              </w:rPr>
              <w:t xml:space="preserve">Sub topic </w:t>
            </w:r>
            <w:r w:rsidRPr="003F274F">
              <w:rPr>
                <w:rFonts w:eastAsiaTheme="minorEastAsia"/>
                <w:lang w:eastAsia="zh-CN"/>
              </w:rPr>
              <w:t>1-</w:t>
            </w:r>
            <w:r w:rsidRPr="003F274F">
              <w:rPr>
                <w:rFonts w:eastAsiaTheme="minorEastAsia" w:hint="eastAsia"/>
                <w:lang w:eastAsia="zh-CN"/>
              </w:rPr>
              <w:t xml:space="preserve">1: </w:t>
            </w:r>
          </w:p>
          <w:p w14:paraId="77DE82C8" w14:textId="77777777" w:rsidR="00FA5CDE" w:rsidRPr="003F274F" w:rsidRDefault="00FA5CDE" w:rsidP="00EE3E51">
            <w:pPr>
              <w:rPr>
                <w:b/>
                <w:u w:val="single"/>
                <w:lang w:eastAsia="ko-KR"/>
              </w:rPr>
            </w:pPr>
            <w:r w:rsidRPr="003F274F">
              <w:rPr>
                <w:b/>
                <w:u w:val="single"/>
                <w:lang w:eastAsia="ko-KR"/>
              </w:rPr>
              <w:t>Issue 1-1-1: Feasibility of NSU in REL-16</w:t>
            </w:r>
          </w:p>
          <w:p w14:paraId="7483ED0A" w14:textId="29E06C96" w:rsidR="00FA5CDE" w:rsidRPr="00FA5CDE" w:rsidRDefault="00FA5CDE" w:rsidP="00FA5CDE">
            <w:pPr>
              <w:spacing w:after="120"/>
              <w:rPr>
                <w:rFonts w:eastAsiaTheme="minorEastAsia"/>
                <w:lang w:eastAsia="zh-CN"/>
              </w:rPr>
            </w:pPr>
            <w:r w:rsidRPr="003F274F">
              <w:rPr>
                <w:rFonts w:eastAsiaTheme="minorEastAsia"/>
                <w:lang w:eastAsia="zh-CN"/>
              </w:rPr>
              <w:t xml:space="preserve">Option 3. Based on discussions in RF session so far, it is not stable enough to trigger RRM work. It is better not to introduce </w:t>
            </w:r>
            <w:r w:rsidRPr="003F274F">
              <w:rPr>
                <w:rFonts w:eastAsiaTheme="minorEastAsia" w:hint="eastAsia"/>
                <w:lang w:eastAsia="zh-CN"/>
              </w:rPr>
              <w:t>NSU</w:t>
            </w:r>
            <w:r w:rsidRPr="003F274F">
              <w:rPr>
                <w:rFonts w:eastAsiaTheme="minorEastAsia"/>
                <w:lang w:eastAsia="zh-CN"/>
              </w:rPr>
              <w:t xml:space="preserve"> </w:t>
            </w:r>
            <w:r w:rsidRPr="003F274F">
              <w:rPr>
                <w:rFonts w:eastAsiaTheme="minorEastAsia" w:hint="eastAsia"/>
                <w:lang w:eastAsia="zh-CN"/>
              </w:rPr>
              <w:t>in</w:t>
            </w:r>
            <w:r w:rsidRPr="003F274F">
              <w:rPr>
                <w:rFonts w:eastAsiaTheme="minorEastAsia"/>
                <w:lang w:eastAsia="zh-CN"/>
              </w:rPr>
              <w:t xml:space="preserve"> Rel-16.</w:t>
            </w:r>
          </w:p>
        </w:tc>
      </w:tr>
      <w:tr w:rsidR="00FA5CDE" w:rsidRPr="003F274F" w14:paraId="00FB7028" w14:textId="77777777" w:rsidTr="00EE3E51">
        <w:tc>
          <w:tcPr>
            <w:tcW w:w="1236" w:type="dxa"/>
          </w:tcPr>
          <w:p w14:paraId="478EE175" w14:textId="77777777" w:rsidR="00FA5CDE" w:rsidRPr="003F274F" w:rsidRDefault="00FA5CDE" w:rsidP="00EE3E51">
            <w:pPr>
              <w:spacing w:after="120"/>
              <w:rPr>
                <w:rFonts w:eastAsiaTheme="minorEastAsia"/>
                <w:lang w:eastAsia="zh-CN"/>
              </w:rPr>
            </w:pPr>
            <w:r w:rsidRPr="003F274F">
              <w:rPr>
                <w:rFonts w:eastAsiaTheme="minorEastAsia"/>
                <w:lang w:eastAsia="zh-CN"/>
              </w:rPr>
              <w:t xml:space="preserve">Verizon </w:t>
            </w:r>
          </w:p>
        </w:tc>
        <w:tc>
          <w:tcPr>
            <w:tcW w:w="8395" w:type="dxa"/>
          </w:tcPr>
          <w:p w14:paraId="4F6C18AC" w14:textId="77777777" w:rsidR="00FA5CDE" w:rsidRPr="003F274F" w:rsidRDefault="00FA5CDE" w:rsidP="00EE3E51">
            <w:pPr>
              <w:spacing w:after="120"/>
              <w:rPr>
                <w:rFonts w:eastAsiaTheme="minorEastAsia"/>
                <w:lang w:eastAsia="zh-CN"/>
              </w:rPr>
            </w:pPr>
            <w:r w:rsidRPr="003F274F">
              <w:rPr>
                <w:b/>
                <w:u w:val="single"/>
                <w:lang w:eastAsia="ko-KR"/>
              </w:rPr>
              <w:t>Issue 1-1-1</w:t>
            </w:r>
            <w:r w:rsidRPr="003F274F">
              <w:rPr>
                <w:lang w:eastAsia="ko-KR"/>
              </w:rPr>
              <w:t xml:space="preserve">: We support option 3! As what we discussed before, the </w:t>
            </w:r>
            <w:r w:rsidRPr="003F274F">
              <w:rPr>
                <w:rFonts w:eastAsia="SimSun"/>
                <w:lang w:eastAsia="zh-CN"/>
              </w:rPr>
              <w:t>NSU is not part of REL-16.</w:t>
            </w:r>
          </w:p>
        </w:tc>
      </w:tr>
      <w:tr w:rsidR="00FA5CDE" w:rsidRPr="003F274F" w14:paraId="2320EE87" w14:textId="77777777" w:rsidTr="00EE3E51">
        <w:tc>
          <w:tcPr>
            <w:tcW w:w="1236" w:type="dxa"/>
          </w:tcPr>
          <w:p w14:paraId="5FA3C3F4" w14:textId="77777777" w:rsidR="00FA5CDE" w:rsidRPr="003F274F" w:rsidRDefault="00FA5CDE" w:rsidP="00EE3E51">
            <w:pPr>
              <w:spacing w:after="120"/>
              <w:rPr>
                <w:rFonts w:eastAsiaTheme="minorEastAsia"/>
                <w:lang w:eastAsia="zh-CN"/>
              </w:rPr>
            </w:pPr>
            <w:r w:rsidRPr="003F274F">
              <w:rPr>
                <w:rFonts w:eastAsiaTheme="minorEastAsia"/>
                <w:lang w:eastAsia="zh-CN"/>
              </w:rPr>
              <w:t>Apple</w:t>
            </w:r>
          </w:p>
        </w:tc>
        <w:tc>
          <w:tcPr>
            <w:tcW w:w="8395" w:type="dxa"/>
          </w:tcPr>
          <w:p w14:paraId="28A15A6F" w14:textId="77777777" w:rsidR="00FA5CDE" w:rsidRPr="00C16C8E" w:rsidRDefault="00FA5CDE" w:rsidP="00EE3E51">
            <w:pPr>
              <w:spacing w:after="120"/>
              <w:rPr>
                <w:lang w:eastAsia="ko-KR"/>
              </w:rPr>
            </w:pPr>
            <w:r w:rsidRPr="00C16C8E">
              <w:rPr>
                <w:lang w:eastAsia="ko-KR"/>
              </w:rPr>
              <w:t>Issue 1-1-1: We prefer Option 1 and can accept Option 2.</w:t>
            </w:r>
          </w:p>
          <w:p w14:paraId="5117124A" w14:textId="77777777" w:rsidR="00FA5CDE" w:rsidRPr="00C16C8E" w:rsidRDefault="00FA5CDE" w:rsidP="00EE3E51">
            <w:pPr>
              <w:spacing w:after="120"/>
              <w:rPr>
                <w:lang w:eastAsia="ko-KR"/>
              </w:rPr>
            </w:pPr>
            <w:r w:rsidRPr="00C16C8E">
              <w:rPr>
                <w:lang w:eastAsia="ko-KR"/>
              </w:rPr>
              <w:t>As we see in R4-2004880, the proposed power back-off associated with simultaneous non-contiguous UL CA can be up to 10 dB in addition to the contiguous CA MPR table, depending on the RB allocation ratio. In addition to increased MPR, simultaneous non-contiguous UL allocations reduce the PSD level received by the base station, further exacerbating the UL link budget. At least for handheld form factors, we see NSU as one feature which can allow operators the flexibility of configuring the UE for non-contiguous UL CA while allowing for a UE implementation which restricts the MPR to the contiguous case (i.e. Table 6.2A.2.4-1).</w:t>
            </w:r>
          </w:p>
          <w:p w14:paraId="7D258309" w14:textId="77777777" w:rsidR="00FA5CDE" w:rsidRPr="003F274F" w:rsidRDefault="00FA5CDE" w:rsidP="00EE3E51">
            <w:pPr>
              <w:spacing w:after="120"/>
              <w:rPr>
                <w:u w:val="single"/>
                <w:lang w:eastAsia="ko-KR"/>
              </w:rPr>
            </w:pPr>
            <w:r w:rsidRPr="00C16C8E">
              <w:rPr>
                <w:lang w:eastAsia="ko-KR"/>
              </w:rPr>
              <w:t>We also would like to provide the following comments in response to the Samsung comment: the stability of a feature can be understood from the perspective of its justification and the requirements necessary to define it. The MPR comparison above, together with the information we provided in R4-2004713, is the justification component. RAN4 had already discussed the possible mechanisms for NSU switching and identfied three candidates in R4-1913055 during the RAN4 #92bis meeting. Because detailed design of the mechanism is related to RRM requirements, we understand that further effort in RRM is needed. This is why we can accept Option 2, so that RRM work can be allowed to proceed.</w:t>
            </w:r>
          </w:p>
        </w:tc>
      </w:tr>
      <w:tr w:rsidR="00FA5CDE" w:rsidRPr="003F274F" w14:paraId="7152137C" w14:textId="77777777" w:rsidTr="00EE3E51">
        <w:tc>
          <w:tcPr>
            <w:tcW w:w="1236" w:type="dxa"/>
          </w:tcPr>
          <w:p w14:paraId="416B6711" w14:textId="77777777" w:rsidR="00FA5CDE" w:rsidRPr="003F274F" w:rsidRDefault="00FA5CDE" w:rsidP="00EE3E51">
            <w:pPr>
              <w:spacing w:after="120"/>
              <w:rPr>
                <w:rFonts w:eastAsiaTheme="minorEastAsia"/>
                <w:lang w:eastAsia="zh-CN"/>
              </w:rPr>
            </w:pPr>
            <w:r w:rsidRPr="003F274F">
              <w:rPr>
                <w:rFonts w:eastAsiaTheme="minorEastAsia" w:hint="eastAsia"/>
                <w:lang w:eastAsia="zh-CN"/>
              </w:rPr>
              <w:t>H</w:t>
            </w:r>
            <w:r w:rsidRPr="003F274F">
              <w:rPr>
                <w:rFonts w:eastAsiaTheme="minorEastAsia"/>
                <w:lang w:eastAsia="zh-CN"/>
              </w:rPr>
              <w:t>uawei</w:t>
            </w:r>
          </w:p>
        </w:tc>
        <w:tc>
          <w:tcPr>
            <w:tcW w:w="8395" w:type="dxa"/>
          </w:tcPr>
          <w:p w14:paraId="66F8C95E" w14:textId="55E2B1E4" w:rsidR="00FA5CDE" w:rsidRPr="00C16C8E" w:rsidRDefault="00FA5CDE" w:rsidP="00EE3E51">
            <w:pPr>
              <w:spacing w:after="120"/>
              <w:rPr>
                <w:rFonts w:eastAsiaTheme="minorEastAsia"/>
                <w:lang w:eastAsia="zh-CN"/>
              </w:rPr>
            </w:pPr>
            <w:r w:rsidRPr="00C16C8E">
              <w:rPr>
                <w:lang w:eastAsia="ko-KR"/>
              </w:rPr>
              <w:t>Issue 1-1-1: we believe the current activating/deactivating procedure for intra-band NC CA already realize the concept of NSU. We don’t see the way for a faster switching between CC.</w:t>
            </w:r>
          </w:p>
        </w:tc>
      </w:tr>
      <w:tr w:rsidR="00FA5CDE" w:rsidRPr="003F274F" w14:paraId="32D89E52" w14:textId="77777777" w:rsidTr="00EE3E51">
        <w:tc>
          <w:tcPr>
            <w:tcW w:w="1236" w:type="dxa"/>
          </w:tcPr>
          <w:p w14:paraId="74C261F2" w14:textId="77777777" w:rsidR="00FA5CDE" w:rsidRPr="003F274F" w:rsidRDefault="00FA5CDE" w:rsidP="00EE3E51">
            <w:pPr>
              <w:spacing w:after="120"/>
              <w:rPr>
                <w:rFonts w:eastAsiaTheme="minorEastAsia"/>
                <w:lang w:eastAsia="zh-CN"/>
              </w:rPr>
            </w:pPr>
            <w:r w:rsidRPr="003F274F">
              <w:rPr>
                <w:rFonts w:eastAsiaTheme="minorEastAsia"/>
                <w:lang w:eastAsia="zh-CN"/>
              </w:rPr>
              <w:t>Qualcomm</w:t>
            </w:r>
          </w:p>
        </w:tc>
        <w:tc>
          <w:tcPr>
            <w:tcW w:w="8395" w:type="dxa"/>
          </w:tcPr>
          <w:p w14:paraId="60348250" w14:textId="77777777" w:rsidR="00FA5CDE" w:rsidRPr="003F274F" w:rsidRDefault="00FA5CDE" w:rsidP="00EE3E51">
            <w:pPr>
              <w:spacing w:after="120"/>
              <w:rPr>
                <w:rFonts w:eastAsiaTheme="minorEastAsia"/>
                <w:lang w:eastAsia="zh-CN"/>
              </w:rPr>
            </w:pPr>
            <w:r w:rsidRPr="003F274F">
              <w:rPr>
                <w:rFonts w:eastAsiaTheme="minorEastAsia"/>
                <w:lang w:eastAsia="zh-CN"/>
              </w:rPr>
              <w:t>Sub topic 1-1-1:</w:t>
            </w:r>
          </w:p>
          <w:p w14:paraId="722C918C" w14:textId="74CF6A04" w:rsidR="00FA5CDE" w:rsidRPr="00FA5CDE" w:rsidRDefault="00FA5CDE" w:rsidP="00EE3E51">
            <w:pPr>
              <w:spacing w:after="120"/>
              <w:rPr>
                <w:rFonts w:eastAsiaTheme="minorEastAsia"/>
                <w:lang w:eastAsia="zh-CN"/>
              </w:rPr>
            </w:pPr>
            <w:r w:rsidRPr="003F274F">
              <w:rPr>
                <w:rFonts w:eastAsiaTheme="minorEastAsia"/>
                <w:lang w:eastAsia="zh-CN"/>
              </w:rPr>
              <w:t>Option 3. We do not see the enhancement relative to a rel-15 UE’s contiguous UL CA capability. In our view, the proposed UE capability will merely allow a UE to declare NC CA capability even though it may not be able to, or does not intend to transmit simultaneously over multiple non-contiguous sub-blocks.</w:t>
            </w:r>
          </w:p>
        </w:tc>
      </w:tr>
    </w:tbl>
    <w:p w14:paraId="68A44236" w14:textId="2BC108BD" w:rsidR="00FA5CDE" w:rsidRDefault="00FA5CDE" w:rsidP="00E72324"/>
    <w:p w14:paraId="277902E5" w14:textId="3DA9BF8A" w:rsidR="003D341F" w:rsidRDefault="003D341F" w:rsidP="00E72324">
      <w:r>
        <w:t>Based on this outcome of the discussion, the following observation can be made:</w:t>
      </w:r>
    </w:p>
    <w:p w14:paraId="48E4F111" w14:textId="77777777" w:rsidR="003D341F" w:rsidRDefault="003D341F" w:rsidP="00E72324"/>
    <w:p w14:paraId="6AE859A5" w14:textId="046EDA80" w:rsidR="0028047D" w:rsidRPr="002F14F1" w:rsidRDefault="0028047D" w:rsidP="0028047D">
      <w:pPr>
        <w:pStyle w:val="Observation"/>
      </w:pPr>
      <w:bookmarkStart w:id="2" w:name="_Toc40341477"/>
      <w:bookmarkStart w:id="3" w:name="_Toc40341542"/>
      <w:r>
        <w:t>Observation 1:</w:t>
      </w:r>
      <w:r>
        <w:tab/>
      </w:r>
      <w:r w:rsidR="003D341F">
        <w:t>The conclusion of the feasibility discussion of NSU is not likely to align with the Rel-16 timeline.</w:t>
      </w:r>
      <w:bookmarkEnd w:id="2"/>
      <w:bookmarkEnd w:id="3"/>
    </w:p>
    <w:p w14:paraId="6A8AA235" w14:textId="43D41E05" w:rsidR="00FA5CDE" w:rsidRDefault="003D341F" w:rsidP="00E72324">
      <w:r>
        <w:t>On the other hand, observing that the feature promises an optimization of UL cell management for the network together with the benefit of lower complexity in the UE RF front end architecture, there is a valuable motivation to continue the work to specify the feature in Rel-17.</w:t>
      </w:r>
    </w:p>
    <w:p w14:paraId="2E87DAD7" w14:textId="619ADB42" w:rsidR="00FA5CDE" w:rsidRDefault="00FA5CDE" w:rsidP="00E72324"/>
    <w:p w14:paraId="571F057E" w14:textId="559F91EA" w:rsidR="003D341F" w:rsidRDefault="003D341F" w:rsidP="003D341F">
      <w:pPr>
        <w:pStyle w:val="Proposal"/>
      </w:pPr>
      <w:bookmarkStart w:id="4" w:name="_Toc40341478"/>
      <w:bookmarkStart w:id="5" w:name="_Toc40341543"/>
      <w:r>
        <w:t>Proposal 1:</w:t>
      </w:r>
      <w:r>
        <w:tab/>
        <w:t>Scope for specification work related to non-simultaneous Tx for FR2 intra-band NC UL CA in SA CA scenarios FR1 (PCell) + FR2 (SCells) and EN-DC scenarios LTE (PCell) + FR1 (PScell) + FR2 (SCells) is transferred to the Rel-17 RAN4 RF package</w:t>
      </w:r>
      <w:r w:rsidR="009B19F0">
        <w:t xml:space="preserve"> as a work item objective</w:t>
      </w:r>
      <w:r>
        <w:t>.</w:t>
      </w:r>
      <w:bookmarkEnd w:id="4"/>
      <w:bookmarkEnd w:id="5"/>
    </w:p>
    <w:p w14:paraId="1B99F185" w14:textId="194FA97A" w:rsidR="003D341F" w:rsidRDefault="003D341F" w:rsidP="00E72324">
      <w:pPr>
        <w:rPr>
          <w:lang w:val="en-GB"/>
        </w:rPr>
      </w:pPr>
    </w:p>
    <w:p w14:paraId="20255C61" w14:textId="37AD372E" w:rsidR="003D341F" w:rsidRDefault="003D341F" w:rsidP="00E72324">
      <w:r>
        <w:t xml:space="preserve">During the last meeting we had proposed scope for enhancing NSU to cover the remaining SA and EN-DC scenarios in Rel-17 </w:t>
      </w:r>
      <w:r>
        <w:fldChar w:fldCharType="begin"/>
      </w:r>
      <w:r>
        <w:instrText xml:space="preserve"> REF _Ref40341311 \r \h </w:instrText>
      </w:r>
      <w:r>
        <w:fldChar w:fldCharType="separate"/>
      </w:r>
      <w:r w:rsidR="00D705A3">
        <w:t>[6]</w:t>
      </w:r>
      <w:r>
        <w:fldChar w:fldCharType="end"/>
      </w:r>
      <w:r>
        <w:t>, and we see it is reasonable to combine the scope of Proposal 1 together with the proposed enhancement.</w:t>
      </w:r>
    </w:p>
    <w:p w14:paraId="298E2ED2" w14:textId="77777777" w:rsidR="003D341F" w:rsidRDefault="003D341F" w:rsidP="00E72324"/>
    <w:p w14:paraId="0D7E9B38" w14:textId="6DE2534F" w:rsidR="003D341F" w:rsidRDefault="00AE79C7" w:rsidP="00AE79C7">
      <w:pPr>
        <w:rPr>
          <w:lang w:val="en-GB"/>
        </w:rPr>
      </w:pPr>
      <w:r>
        <w:rPr>
          <w:lang w:val="en-GB"/>
        </w:rPr>
        <w:t xml:space="preserve">Because the majority of the feature’s impact is on the RRM specification, </w:t>
      </w:r>
      <w:r w:rsidR="003D341F">
        <w:rPr>
          <w:lang w:val="en-GB"/>
        </w:rPr>
        <w:t>it is recommended to include the scope related to NSU to the Rel-17 RAN4 RRM package as well.</w:t>
      </w:r>
    </w:p>
    <w:p w14:paraId="25F3C825" w14:textId="77777777" w:rsidR="00AE79C7" w:rsidRDefault="00AE79C7" w:rsidP="00AE79C7">
      <w:pPr>
        <w:rPr>
          <w:lang w:val="en-GB"/>
        </w:rPr>
      </w:pPr>
    </w:p>
    <w:p w14:paraId="261D0B26" w14:textId="4321D263" w:rsidR="00AE79C7" w:rsidRDefault="00AE79C7" w:rsidP="00AE79C7">
      <w:pPr>
        <w:pStyle w:val="Proposal"/>
      </w:pPr>
      <w:bookmarkStart w:id="6" w:name="_Toc37419785"/>
      <w:bookmarkStart w:id="7" w:name="_Toc40341479"/>
      <w:bookmarkStart w:id="8" w:name="_Toc40341544"/>
      <w:r>
        <w:lastRenderedPageBreak/>
        <w:t xml:space="preserve">Proposal </w:t>
      </w:r>
      <w:r w:rsidR="003D341F">
        <w:t>2</w:t>
      </w:r>
      <w:r>
        <w:t>:</w:t>
      </w:r>
      <w:r>
        <w:tab/>
      </w:r>
      <w:r w:rsidR="003D341F">
        <w:t>Scope for</w:t>
      </w:r>
      <w:r>
        <w:t xml:space="preserve"> </w:t>
      </w:r>
      <w:r w:rsidR="003D341F">
        <w:t xml:space="preserve">RRM effort related to the </w:t>
      </w:r>
      <w:r>
        <w:t xml:space="preserve">NSU feature </w:t>
      </w:r>
      <w:r w:rsidR="003D341F">
        <w:t>is included in the Rel-17 RAN4 RRM package</w:t>
      </w:r>
      <w:r w:rsidR="009B19F0">
        <w:t xml:space="preserve"> as a work item objective</w:t>
      </w:r>
      <w:r>
        <w:t xml:space="preserve">. RAN4 RRM </w:t>
      </w:r>
      <w:r w:rsidR="003D341F">
        <w:t xml:space="preserve">scope </w:t>
      </w:r>
      <w:r>
        <w:t xml:space="preserve">can </w:t>
      </w:r>
      <w:r w:rsidR="003D341F">
        <w:t>include</w:t>
      </w:r>
      <w:r>
        <w:t xml:space="preserve"> aspects related to capability signaling and switching mechanism.</w:t>
      </w:r>
      <w:bookmarkEnd w:id="6"/>
      <w:bookmarkEnd w:id="7"/>
      <w:bookmarkEnd w:id="8"/>
    </w:p>
    <w:p w14:paraId="77EFD62E" w14:textId="77777777" w:rsidR="00AE79C7" w:rsidRPr="00721C9C" w:rsidRDefault="00AE79C7" w:rsidP="00721C9C">
      <w:pPr>
        <w:rPr>
          <w:lang w:val="en-GB"/>
        </w:rPr>
      </w:pPr>
    </w:p>
    <w:p w14:paraId="34C99636" w14:textId="77777777" w:rsidR="008E7986" w:rsidRDefault="008E7986" w:rsidP="008E7986">
      <w:pPr>
        <w:pStyle w:val="Heading1"/>
      </w:pPr>
      <w:r>
        <w:t>3</w:t>
      </w:r>
      <w:r>
        <w:tab/>
        <w:t>Conclusions</w:t>
      </w:r>
    </w:p>
    <w:p w14:paraId="371F8D31" w14:textId="1D254787" w:rsidR="00FF0621" w:rsidRDefault="001532AB" w:rsidP="00FF0621">
      <w:r>
        <w:t>This contribution has considered the remaining issues related to the study of the feasibility of carrier switching to support non-simultaneous uplink of non-contiguous carriers in light of the Rel-16 timeline</w:t>
      </w:r>
      <w:r w:rsidR="00FF0621">
        <w:t>.  The following observations and proposals have been made:</w:t>
      </w:r>
    </w:p>
    <w:p w14:paraId="3EC0CB49" w14:textId="05437BA7" w:rsidR="003C69F6" w:rsidRDefault="003C69F6" w:rsidP="00FF0621"/>
    <w:p w14:paraId="787EFAEA" w14:textId="77777777" w:rsidR="00D705A3" w:rsidRDefault="003C69F6">
      <w:pPr>
        <w:pStyle w:val="TOC1"/>
        <w:rPr>
          <w:rFonts w:asciiTheme="minorHAnsi" w:eastAsiaTheme="minorEastAsia" w:hAnsiTheme="minorHAnsi" w:cstheme="minorBidi"/>
          <w:b w:val="0"/>
          <w:bCs w:val="0"/>
          <w:noProof/>
          <w:sz w:val="24"/>
          <w:szCs w:val="24"/>
          <w:lang w:val="en-US"/>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D705A3">
        <w:rPr>
          <w:noProof/>
        </w:rPr>
        <w:t>Observation 1:</w:t>
      </w:r>
      <w:r w:rsidR="00D705A3">
        <w:rPr>
          <w:rFonts w:asciiTheme="minorHAnsi" w:eastAsiaTheme="minorEastAsia" w:hAnsiTheme="minorHAnsi" w:cstheme="minorBidi"/>
          <w:b w:val="0"/>
          <w:bCs w:val="0"/>
          <w:noProof/>
          <w:sz w:val="24"/>
          <w:szCs w:val="24"/>
          <w:lang w:val="en-US"/>
        </w:rPr>
        <w:tab/>
      </w:r>
      <w:r w:rsidR="00D705A3">
        <w:rPr>
          <w:noProof/>
        </w:rPr>
        <w:t>The conclusion of the feasibility discussion of NSU is not likely to align with the Rel-16 timeline.</w:t>
      </w:r>
    </w:p>
    <w:p w14:paraId="4FBB4955" w14:textId="38F70B73" w:rsidR="005973BE" w:rsidRDefault="003C69F6" w:rsidP="00E72324">
      <w:r>
        <w:rPr>
          <w:rFonts w:asciiTheme="minorHAnsi" w:hAnsiTheme="minorHAnsi"/>
          <w:bCs/>
        </w:rPr>
        <w:fldChar w:fldCharType="end"/>
      </w:r>
    </w:p>
    <w:p w14:paraId="27596BCE" w14:textId="77777777" w:rsidR="00D705A3" w:rsidRDefault="0062595A">
      <w:pPr>
        <w:pStyle w:val="TOC1"/>
        <w:rPr>
          <w:rFonts w:asciiTheme="minorHAnsi" w:eastAsiaTheme="minorEastAsia" w:hAnsiTheme="minorHAnsi" w:cstheme="minorBidi"/>
          <w:b w:val="0"/>
          <w:bCs w:val="0"/>
          <w:noProof/>
          <w:sz w:val="24"/>
          <w:szCs w:val="24"/>
          <w:lang w:val="en-US"/>
        </w:rPr>
      </w:pPr>
      <w:r>
        <w:rPr>
          <w:b w:val="0"/>
          <w:bCs w:val="0"/>
        </w:rPr>
        <w:fldChar w:fldCharType="begin"/>
      </w:r>
      <w:r>
        <w:rPr>
          <w:b w:val="0"/>
          <w:bCs w:val="0"/>
        </w:rPr>
        <w:instrText xml:space="preserve"> TOC \n \t "Proposal,1" </w:instrText>
      </w:r>
      <w:r>
        <w:rPr>
          <w:b w:val="0"/>
          <w:bCs w:val="0"/>
        </w:rPr>
        <w:fldChar w:fldCharType="separate"/>
      </w:r>
      <w:r w:rsidR="00D705A3">
        <w:rPr>
          <w:noProof/>
        </w:rPr>
        <w:t>Proposal 1:</w:t>
      </w:r>
      <w:r w:rsidR="00D705A3">
        <w:rPr>
          <w:rFonts w:asciiTheme="minorHAnsi" w:eastAsiaTheme="minorEastAsia" w:hAnsiTheme="minorHAnsi" w:cstheme="minorBidi"/>
          <w:b w:val="0"/>
          <w:bCs w:val="0"/>
          <w:noProof/>
          <w:sz w:val="24"/>
          <w:szCs w:val="24"/>
          <w:lang w:val="en-US"/>
        </w:rPr>
        <w:tab/>
      </w:r>
      <w:r w:rsidR="00D705A3">
        <w:rPr>
          <w:noProof/>
        </w:rPr>
        <w:t>Scope for specification work related to non-simultaneous Tx for FR2 intra-band NC UL CA in SA CA scenarios FR1 (PCell) + FR2 (SCells) and EN-DC scenarios LTE (PCell) + FR1 (PScell) + FR2 (SCells) is transferred to the Rel-17 RAN4 RF package as a work item objective.</w:t>
      </w:r>
    </w:p>
    <w:p w14:paraId="2C899833" w14:textId="77777777" w:rsidR="00D705A3" w:rsidRDefault="00D705A3">
      <w:pPr>
        <w:pStyle w:val="TOC1"/>
        <w:rPr>
          <w:rFonts w:asciiTheme="minorHAnsi" w:eastAsiaTheme="minorEastAsia" w:hAnsiTheme="minorHAnsi" w:cstheme="minorBidi"/>
          <w:b w:val="0"/>
          <w:bCs w:val="0"/>
          <w:noProof/>
          <w:sz w:val="24"/>
          <w:szCs w:val="24"/>
          <w:lang w:val="en-US"/>
        </w:rPr>
      </w:pPr>
      <w:r>
        <w:rPr>
          <w:noProof/>
        </w:rPr>
        <w:t>Proposal 2:</w:t>
      </w:r>
      <w:r>
        <w:rPr>
          <w:rFonts w:asciiTheme="minorHAnsi" w:eastAsiaTheme="minorEastAsia" w:hAnsiTheme="minorHAnsi" w:cstheme="minorBidi"/>
          <w:b w:val="0"/>
          <w:bCs w:val="0"/>
          <w:noProof/>
          <w:sz w:val="24"/>
          <w:szCs w:val="24"/>
          <w:lang w:val="en-US"/>
        </w:rPr>
        <w:tab/>
      </w:r>
      <w:r>
        <w:rPr>
          <w:noProof/>
        </w:rPr>
        <w:t>Scope for RRM effort related to the NSU feature is included in the Rel-17 RAN4 RRM package as a work item objective. RAN4 RRM scope can include aspects related to capability signaling and switching mechanism.</w:t>
      </w:r>
    </w:p>
    <w:p w14:paraId="769CC3B8" w14:textId="2D6218AD" w:rsidR="0062595A" w:rsidRDefault="0062595A" w:rsidP="00E72324">
      <w:r>
        <w:rPr>
          <w:b/>
          <w:bCs/>
        </w:rPr>
        <w:fldChar w:fldCharType="end"/>
      </w:r>
    </w:p>
    <w:p w14:paraId="5D2DDC34" w14:textId="77777777" w:rsidR="005E69AE" w:rsidRDefault="005E69AE" w:rsidP="005E69AE">
      <w:pPr>
        <w:pStyle w:val="Heading1"/>
      </w:pPr>
      <w:r>
        <w:t>4</w:t>
      </w:r>
      <w:r>
        <w:tab/>
        <w:t>References</w:t>
      </w:r>
    </w:p>
    <w:p w14:paraId="6AAA4C93" w14:textId="77777777" w:rsidR="00CB4975" w:rsidRDefault="00CB4975" w:rsidP="00CB4975">
      <w:pPr>
        <w:pStyle w:val="EX"/>
        <w:numPr>
          <w:ilvl w:val="0"/>
          <w:numId w:val="5"/>
        </w:numPr>
      </w:pPr>
      <w:bookmarkStart w:id="9" w:name="_Ref16575941"/>
      <w:bookmarkStart w:id="10" w:name="_Ref16557425"/>
      <w:r w:rsidRPr="008E2E1C">
        <w:t>RP-190761</w:t>
      </w:r>
      <w:r>
        <w:t>, “</w:t>
      </w:r>
      <w:r w:rsidRPr="008E2E1C">
        <w:t>NR RF requirements for FR2</w:t>
      </w:r>
      <w:r>
        <w:t>”</w:t>
      </w:r>
      <w:bookmarkEnd w:id="9"/>
    </w:p>
    <w:p w14:paraId="6B7EBFB2" w14:textId="3A474688" w:rsidR="00CB4975" w:rsidRDefault="00CB4975" w:rsidP="00CB4975">
      <w:pPr>
        <w:pStyle w:val="EX"/>
        <w:numPr>
          <w:ilvl w:val="0"/>
          <w:numId w:val="5"/>
        </w:numPr>
      </w:pPr>
      <w:bookmarkStart w:id="11" w:name="_Ref16576366"/>
      <w:r w:rsidRPr="004B351C">
        <w:t>3GPP TS38.101-2, “NR; User Equipment (UE) radio transmission and reception; Part 2: Range 2 Standalone”</w:t>
      </w:r>
      <w:bookmarkEnd w:id="10"/>
      <w:bookmarkEnd w:id="11"/>
    </w:p>
    <w:p w14:paraId="41818856" w14:textId="2CE329B9" w:rsidR="006E7AE7" w:rsidRDefault="00E93A86" w:rsidP="00CB4975">
      <w:pPr>
        <w:pStyle w:val="EX"/>
        <w:numPr>
          <w:ilvl w:val="0"/>
          <w:numId w:val="5"/>
        </w:numPr>
      </w:pPr>
      <w:bookmarkStart w:id="12" w:name="_Ref24083416"/>
      <w:r w:rsidRPr="00E93A86">
        <w:t>R4-1913055</w:t>
      </w:r>
      <w:r>
        <w:t>, “</w:t>
      </w:r>
      <w:r w:rsidRPr="00E93A86">
        <w:t>WF on non-contiguous UL CA in FR2</w:t>
      </w:r>
      <w:r>
        <w:t>,” Apple Inc., 3GPP RAN4 #92bis, October 2019</w:t>
      </w:r>
      <w:bookmarkEnd w:id="12"/>
    </w:p>
    <w:p w14:paraId="21C459DA" w14:textId="7E73BA51" w:rsidR="00FA5CDE" w:rsidRDefault="00FA5CDE" w:rsidP="00CB4975">
      <w:pPr>
        <w:pStyle w:val="EX"/>
        <w:numPr>
          <w:ilvl w:val="0"/>
          <w:numId w:val="5"/>
        </w:numPr>
      </w:pPr>
      <w:bookmarkStart w:id="13" w:name="_Ref40340559"/>
      <w:r w:rsidRPr="00FA5CDE">
        <w:t>R4-2004713</w:t>
      </w:r>
      <w:r>
        <w:t>, “</w:t>
      </w:r>
      <w:r w:rsidRPr="00FA5CDE">
        <w:t>Non-simultaneous UL for non-contiguous UL CA in FR2</w:t>
      </w:r>
      <w:r>
        <w:t>,” Apple Inc., 3GPP RAN4 #94e-bis, April 2020</w:t>
      </w:r>
      <w:bookmarkEnd w:id="13"/>
    </w:p>
    <w:p w14:paraId="38BFB747" w14:textId="3A304B83" w:rsidR="00FA5CDE" w:rsidRDefault="00FA5CDE" w:rsidP="00CB4975">
      <w:pPr>
        <w:pStyle w:val="EX"/>
        <w:numPr>
          <w:ilvl w:val="0"/>
          <w:numId w:val="5"/>
        </w:numPr>
      </w:pPr>
      <w:bookmarkStart w:id="14" w:name="_Ref40340708"/>
      <w:r w:rsidRPr="00FA5CDE">
        <w:t>R4-2005703</w:t>
      </w:r>
      <w:r>
        <w:t>, “E</w:t>
      </w:r>
      <w:r w:rsidRPr="00FA5CDE">
        <w:t>mail discussion summary for [94e Bis][20] NR_RF_FR2_req_enh_Part_4</w:t>
      </w:r>
      <w:r>
        <w:t>,” Nokia, 3GPP RAN4 #94b-bis, April 2020</w:t>
      </w:r>
      <w:bookmarkEnd w:id="14"/>
    </w:p>
    <w:p w14:paraId="0138C68E" w14:textId="36011984" w:rsidR="003D341F" w:rsidRDefault="003D341F" w:rsidP="00CB4975">
      <w:pPr>
        <w:pStyle w:val="EX"/>
        <w:numPr>
          <w:ilvl w:val="0"/>
          <w:numId w:val="5"/>
        </w:numPr>
      </w:pPr>
      <w:bookmarkStart w:id="15" w:name="_Ref40341311"/>
      <w:bookmarkStart w:id="16" w:name="_Ref24085754"/>
      <w:r w:rsidRPr="003D341F">
        <w:t>R4-2004717</w:t>
      </w:r>
      <w:r>
        <w:t>, “</w:t>
      </w:r>
      <w:r w:rsidRPr="003D341F">
        <w:t>FR2 RF enhancements for Rel-17</w:t>
      </w:r>
      <w:r>
        <w:t>,” Apple Inc., 3GPP RAN4 #94e-bis, April 2020</w:t>
      </w:r>
      <w:bookmarkEnd w:id="15"/>
    </w:p>
    <w:p w14:paraId="60587F6A" w14:textId="4015039F" w:rsidR="00E93A86" w:rsidRDefault="00E93A86" w:rsidP="00CB4975">
      <w:pPr>
        <w:pStyle w:val="EX"/>
        <w:numPr>
          <w:ilvl w:val="0"/>
          <w:numId w:val="5"/>
        </w:numPr>
      </w:pPr>
      <w:r w:rsidRPr="00E93A86">
        <w:t>R4-1912837</w:t>
      </w:r>
      <w:r>
        <w:t>, “</w:t>
      </w:r>
      <w:r w:rsidR="00F02A6C">
        <w:t xml:space="preserve">Way forward on R16 NR RRM enh </w:t>
      </w:r>
      <w:r w:rsidRPr="00E93A86">
        <w:t>BWP switching on multiple CCs</w:t>
      </w:r>
      <w:r>
        <w:t>,” Ericsson, 3GPP RAN4 #92bis, October 2019</w:t>
      </w:r>
      <w:bookmarkEnd w:id="16"/>
    </w:p>
    <w:p w14:paraId="4E75518C" w14:textId="74D25FAF" w:rsidR="00714E1A" w:rsidRDefault="00714E1A" w:rsidP="00CB4975">
      <w:pPr>
        <w:pStyle w:val="EX"/>
        <w:numPr>
          <w:ilvl w:val="0"/>
          <w:numId w:val="5"/>
        </w:numPr>
      </w:pPr>
      <w:bookmarkStart w:id="17" w:name="_Ref32368715"/>
      <w:r w:rsidRPr="00714E1A">
        <w:t>R4-2000013</w:t>
      </w:r>
      <w:r>
        <w:t>, “</w:t>
      </w:r>
      <w:r w:rsidRPr="00714E1A">
        <w:t>Remaining issues with the FR2 frequency separation class</w:t>
      </w:r>
      <w:r>
        <w:t>,” Apple Inc., 3GPP RAN4 #94-e, Februiary 2020</w:t>
      </w:r>
      <w:bookmarkEnd w:id="17"/>
    </w:p>
    <w:p w14:paraId="0DA46E93" w14:textId="564F73DA" w:rsidR="00F02A6C" w:rsidRDefault="00F555C2" w:rsidP="00CB4975">
      <w:pPr>
        <w:pStyle w:val="EX"/>
        <w:numPr>
          <w:ilvl w:val="0"/>
          <w:numId w:val="5"/>
        </w:numPr>
      </w:pPr>
      <w:bookmarkStart w:id="18" w:name="_Ref24091358"/>
      <w:r w:rsidRPr="00F02A6C">
        <w:t>R4-1908013</w:t>
      </w:r>
      <w:r>
        <w:t>, “</w:t>
      </w:r>
      <w:r w:rsidRPr="00F02A6C">
        <w:t>Non-simultaneous transmission for intra-band non-contiguous UL CA in FR2</w:t>
      </w:r>
      <w:r>
        <w:t>,” Apple Inc., 3GPP RAN4 #92, August 2019</w:t>
      </w:r>
      <w:bookmarkEnd w:id="18"/>
    </w:p>
    <w:p w14:paraId="5E137FA4" w14:textId="61AA3A5E" w:rsidR="00F02A6C" w:rsidRDefault="00F555C2" w:rsidP="00CB4975">
      <w:pPr>
        <w:pStyle w:val="EX"/>
        <w:numPr>
          <w:ilvl w:val="0"/>
          <w:numId w:val="5"/>
        </w:numPr>
      </w:pPr>
      <w:bookmarkStart w:id="19" w:name="_Ref24086104"/>
      <w:r w:rsidRPr="00F555C2">
        <w:t>R4-1911512</w:t>
      </w:r>
      <w:r w:rsidR="00F02A6C">
        <w:t>, “</w:t>
      </w:r>
      <w:r w:rsidRPr="00F555C2">
        <w:t>Carrier switching to enable non-simultaneous transmission for intra-band non-contiguous UL CA in FR2</w:t>
      </w:r>
      <w:r w:rsidR="00F02A6C">
        <w:t>,” Apple Inc., 3GPP RAN4 #92</w:t>
      </w:r>
      <w:r>
        <w:t>bis</w:t>
      </w:r>
      <w:r w:rsidR="00F02A6C">
        <w:t xml:space="preserve">, </w:t>
      </w:r>
      <w:r>
        <w:t>October</w:t>
      </w:r>
      <w:r w:rsidR="00F02A6C">
        <w:t xml:space="preserve"> 2019</w:t>
      </w:r>
      <w:bookmarkEnd w:id="19"/>
    </w:p>
    <w:p w14:paraId="1F970BC4" w14:textId="6F406E88" w:rsidR="008B5D3A" w:rsidRDefault="004E7150" w:rsidP="00CB4975">
      <w:pPr>
        <w:pStyle w:val="EX"/>
        <w:numPr>
          <w:ilvl w:val="0"/>
          <w:numId w:val="5"/>
        </w:numPr>
      </w:pPr>
      <w:bookmarkStart w:id="20" w:name="_Ref24087818"/>
      <w:r w:rsidRPr="004E7150">
        <w:t>RP-192157</w:t>
      </w:r>
      <w:r>
        <w:t>, “</w:t>
      </w:r>
      <w:r w:rsidRPr="004E7150">
        <w:t>Revised WID: NR RRM enhancement in R16</w:t>
      </w:r>
      <w:r>
        <w:t>,” Intel Corporation, 3GPP RAN #85, September 2019</w:t>
      </w:r>
      <w:bookmarkEnd w:id="20"/>
    </w:p>
    <w:p w14:paraId="210245E7" w14:textId="34A65C67" w:rsidR="004E7150" w:rsidRDefault="004E7150" w:rsidP="00CB4975">
      <w:pPr>
        <w:pStyle w:val="EX"/>
        <w:numPr>
          <w:ilvl w:val="0"/>
          <w:numId w:val="5"/>
        </w:numPr>
      </w:pPr>
      <w:bookmarkStart w:id="21" w:name="_Ref24087824"/>
      <w:r w:rsidRPr="004E7150">
        <w:t>R4-1911049</w:t>
      </w:r>
      <w:r>
        <w:t>, “</w:t>
      </w:r>
      <w:r w:rsidRPr="004E7150">
        <w:t>Work plan of R16 RRM enhancement WI</w:t>
      </w:r>
      <w:r>
        <w:t xml:space="preserve">,” </w:t>
      </w:r>
      <w:r w:rsidRPr="004E7150">
        <w:t>Intel Corporation, Apple, ZTE</w:t>
      </w:r>
      <w:r>
        <w:t>, 3GPP RAN4 #92bis, October 2019</w:t>
      </w:r>
      <w:bookmarkEnd w:id="21"/>
    </w:p>
    <w:bookmarkEnd w:id="0"/>
    <w:p w14:paraId="2C7BC95E" w14:textId="77777777" w:rsidR="00080512" w:rsidRDefault="00080512"/>
    <w:p w14:paraId="556A4E6D" w14:textId="77777777" w:rsidR="00FF0621" w:rsidRDefault="00FF0621"/>
    <w:p w14:paraId="041EF615" w14:textId="77777777" w:rsidR="002B0B10" w:rsidRDefault="002B0B10"/>
    <w:sectPr w:rsidR="002B0B10"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7CE18" w14:textId="77777777" w:rsidR="00A27010" w:rsidRDefault="00A27010">
      <w:r>
        <w:separator/>
      </w:r>
    </w:p>
  </w:endnote>
  <w:endnote w:type="continuationSeparator" w:id="0">
    <w:p w14:paraId="477AE41D" w14:textId="77777777" w:rsidR="00A27010" w:rsidRDefault="00A27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1F6BF1" w14:textId="77777777" w:rsidR="00A27010" w:rsidRDefault="00A27010">
      <w:r>
        <w:separator/>
      </w:r>
    </w:p>
  </w:footnote>
  <w:footnote w:type="continuationSeparator" w:id="0">
    <w:p w14:paraId="20AE8D26" w14:textId="77777777" w:rsidR="00A27010" w:rsidRDefault="00A27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2"/>
  </w:num>
  <w:num w:numId="7">
    <w:abstractNumId w:val="4"/>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58A"/>
    <w:rsid w:val="00007CF0"/>
    <w:rsid w:val="00033397"/>
    <w:rsid w:val="00040095"/>
    <w:rsid w:val="00041868"/>
    <w:rsid w:val="00051834"/>
    <w:rsid w:val="00054A22"/>
    <w:rsid w:val="00062023"/>
    <w:rsid w:val="000627F8"/>
    <w:rsid w:val="000655A6"/>
    <w:rsid w:val="00080512"/>
    <w:rsid w:val="000A0944"/>
    <w:rsid w:val="000A365D"/>
    <w:rsid w:val="000A68F3"/>
    <w:rsid w:val="000C47C3"/>
    <w:rsid w:val="000D58AB"/>
    <w:rsid w:val="000F7D32"/>
    <w:rsid w:val="00104BC6"/>
    <w:rsid w:val="001133A5"/>
    <w:rsid w:val="00114E2C"/>
    <w:rsid w:val="0012619A"/>
    <w:rsid w:val="00133525"/>
    <w:rsid w:val="001532AB"/>
    <w:rsid w:val="00166117"/>
    <w:rsid w:val="001A4C42"/>
    <w:rsid w:val="001C21C3"/>
    <w:rsid w:val="001D02C2"/>
    <w:rsid w:val="001F0C1D"/>
    <w:rsid w:val="001F1132"/>
    <w:rsid w:val="001F168B"/>
    <w:rsid w:val="001F5A79"/>
    <w:rsid w:val="001F63FD"/>
    <w:rsid w:val="002347A2"/>
    <w:rsid w:val="00247926"/>
    <w:rsid w:val="00251289"/>
    <w:rsid w:val="002675F0"/>
    <w:rsid w:val="00271644"/>
    <w:rsid w:val="0027462C"/>
    <w:rsid w:val="00276EE4"/>
    <w:rsid w:val="00277665"/>
    <w:rsid w:val="0028047D"/>
    <w:rsid w:val="00284BC8"/>
    <w:rsid w:val="00285732"/>
    <w:rsid w:val="00286DCB"/>
    <w:rsid w:val="00286F1A"/>
    <w:rsid w:val="00290BFF"/>
    <w:rsid w:val="002B0B10"/>
    <w:rsid w:val="002B6339"/>
    <w:rsid w:val="002E00EE"/>
    <w:rsid w:val="002F2612"/>
    <w:rsid w:val="003172DC"/>
    <w:rsid w:val="00337522"/>
    <w:rsid w:val="0034052F"/>
    <w:rsid w:val="0035462D"/>
    <w:rsid w:val="00375192"/>
    <w:rsid w:val="003765B8"/>
    <w:rsid w:val="00393697"/>
    <w:rsid w:val="003A0483"/>
    <w:rsid w:val="003B772E"/>
    <w:rsid w:val="003C3971"/>
    <w:rsid w:val="003C69F6"/>
    <w:rsid w:val="003D341F"/>
    <w:rsid w:val="003E62EA"/>
    <w:rsid w:val="003E7753"/>
    <w:rsid w:val="004169CB"/>
    <w:rsid w:val="00423334"/>
    <w:rsid w:val="004345EC"/>
    <w:rsid w:val="004826A9"/>
    <w:rsid w:val="004B5723"/>
    <w:rsid w:val="004C1601"/>
    <w:rsid w:val="004D3578"/>
    <w:rsid w:val="004E213A"/>
    <w:rsid w:val="004E3D44"/>
    <w:rsid w:val="004E7150"/>
    <w:rsid w:val="004F0988"/>
    <w:rsid w:val="004F3340"/>
    <w:rsid w:val="004F3E3D"/>
    <w:rsid w:val="00500D7B"/>
    <w:rsid w:val="0053388B"/>
    <w:rsid w:val="00534ABA"/>
    <w:rsid w:val="00535773"/>
    <w:rsid w:val="00543E6C"/>
    <w:rsid w:val="00565087"/>
    <w:rsid w:val="00572E14"/>
    <w:rsid w:val="005973BE"/>
    <w:rsid w:val="005A5986"/>
    <w:rsid w:val="005D2E01"/>
    <w:rsid w:val="005D5650"/>
    <w:rsid w:val="005D7526"/>
    <w:rsid w:val="005E69AE"/>
    <w:rsid w:val="005F134F"/>
    <w:rsid w:val="00602AEA"/>
    <w:rsid w:val="00607E3C"/>
    <w:rsid w:val="00614FDF"/>
    <w:rsid w:val="006246A7"/>
    <w:rsid w:val="0062595A"/>
    <w:rsid w:val="0063543D"/>
    <w:rsid w:val="00643A16"/>
    <w:rsid w:val="00647114"/>
    <w:rsid w:val="0065410B"/>
    <w:rsid w:val="00693C48"/>
    <w:rsid w:val="006A323F"/>
    <w:rsid w:val="006B30D0"/>
    <w:rsid w:val="006C3D95"/>
    <w:rsid w:val="006E5C86"/>
    <w:rsid w:val="006E7AE7"/>
    <w:rsid w:val="00702213"/>
    <w:rsid w:val="00713C44"/>
    <w:rsid w:val="00714E1A"/>
    <w:rsid w:val="00721C9C"/>
    <w:rsid w:val="00734A5B"/>
    <w:rsid w:val="0074026F"/>
    <w:rsid w:val="007429F6"/>
    <w:rsid w:val="00744E76"/>
    <w:rsid w:val="00752198"/>
    <w:rsid w:val="00753881"/>
    <w:rsid w:val="00774DA4"/>
    <w:rsid w:val="00781F0F"/>
    <w:rsid w:val="007B600E"/>
    <w:rsid w:val="007B670C"/>
    <w:rsid w:val="007F0F4A"/>
    <w:rsid w:val="008028A4"/>
    <w:rsid w:val="00820B25"/>
    <w:rsid w:val="00820F7F"/>
    <w:rsid w:val="008255BF"/>
    <w:rsid w:val="00830747"/>
    <w:rsid w:val="00844537"/>
    <w:rsid w:val="00864CBC"/>
    <w:rsid w:val="008768CA"/>
    <w:rsid w:val="00885567"/>
    <w:rsid w:val="008B4F02"/>
    <w:rsid w:val="008B5D3A"/>
    <w:rsid w:val="008C32C8"/>
    <w:rsid w:val="008C384C"/>
    <w:rsid w:val="008D1418"/>
    <w:rsid w:val="008E7986"/>
    <w:rsid w:val="008F543B"/>
    <w:rsid w:val="0090271F"/>
    <w:rsid w:val="00902E23"/>
    <w:rsid w:val="009114D7"/>
    <w:rsid w:val="0091348E"/>
    <w:rsid w:val="00917CCB"/>
    <w:rsid w:val="00942EC2"/>
    <w:rsid w:val="00977B18"/>
    <w:rsid w:val="00990AA5"/>
    <w:rsid w:val="009B19F0"/>
    <w:rsid w:val="009C0238"/>
    <w:rsid w:val="009F37B7"/>
    <w:rsid w:val="009F5E43"/>
    <w:rsid w:val="00A00460"/>
    <w:rsid w:val="00A10F02"/>
    <w:rsid w:val="00A164B4"/>
    <w:rsid w:val="00A205DD"/>
    <w:rsid w:val="00A26956"/>
    <w:rsid w:val="00A27010"/>
    <w:rsid w:val="00A368D7"/>
    <w:rsid w:val="00A53724"/>
    <w:rsid w:val="00A66660"/>
    <w:rsid w:val="00A70191"/>
    <w:rsid w:val="00A73129"/>
    <w:rsid w:val="00A82346"/>
    <w:rsid w:val="00A92BA1"/>
    <w:rsid w:val="00AC6BC6"/>
    <w:rsid w:val="00AE2616"/>
    <w:rsid w:val="00AE3797"/>
    <w:rsid w:val="00AE6C72"/>
    <w:rsid w:val="00AE79C7"/>
    <w:rsid w:val="00B022E6"/>
    <w:rsid w:val="00B02A63"/>
    <w:rsid w:val="00B070F5"/>
    <w:rsid w:val="00B15449"/>
    <w:rsid w:val="00B36C4A"/>
    <w:rsid w:val="00B37C9D"/>
    <w:rsid w:val="00B93086"/>
    <w:rsid w:val="00BA19ED"/>
    <w:rsid w:val="00BA300B"/>
    <w:rsid w:val="00BA4B8D"/>
    <w:rsid w:val="00BB3C4F"/>
    <w:rsid w:val="00BC0F7D"/>
    <w:rsid w:val="00BC3468"/>
    <w:rsid w:val="00BD6E43"/>
    <w:rsid w:val="00BE3255"/>
    <w:rsid w:val="00BF128E"/>
    <w:rsid w:val="00BF605C"/>
    <w:rsid w:val="00C02984"/>
    <w:rsid w:val="00C1496A"/>
    <w:rsid w:val="00C16C8E"/>
    <w:rsid w:val="00C2666C"/>
    <w:rsid w:val="00C33079"/>
    <w:rsid w:val="00C36229"/>
    <w:rsid w:val="00C45231"/>
    <w:rsid w:val="00C72833"/>
    <w:rsid w:val="00C80F1D"/>
    <w:rsid w:val="00C91CE0"/>
    <w:rsid w:val="00C9246D"/>
    <w:rsid w:val="00C93F40"/>
    <w:rsid w:val="00CA261A"/>
    <w:rsid w:val="00CA3D0C"/>
    <w:rsid w:val="00CA7253"/>
    <w:rsid w:val="00CB4975"/>
    <w:rsid w:val="00CE00B0"/>
    <w:rsid w:val="00CE4E6F"/>
    <w:rsid w:val="00CF20E3"/>
    <w:rsid w:val="00D12062"/>
    <w:rsid w:val="00D309CC"/>
    <w:rsid w:val="00D46431"/>
    <w:rsid w:val="00D56A52"/>
    <w:rsid w:val="00D57972"/>
    <w:rsid w:val="00D675A9"/>
    <w:rsid w:val="00D705A3"/>
    <w:rsid w:val="00D738D6"/>
    <w:rsid w:val="00D75169"/>
    <w:rsid w:val="00D755EB"/>
    <w:rsid w:val="00D87E00"/>
    <w:rsid w:val="00D9134D"/>
    <w:rsid w:val="00DA7A03"/>
    <w:rsid w:val="00DB1818"/>
    <w:rsid w:val="00DB7B55"/>
    <w:rsid w:val="00DC0C0D"/>
    <w:rsid w:val="00DC309B"/>
    <w:rsid w:val="00DC4DA2"/>
    <w:rsid w:val="00DD4C17"/>
    <w:rsid w:val="00DE4DA7"/>
    <w:rsid w:val="00DF2B1F"/>
    <w:rsid w:val="00DF3064"/>
    <w:rsid w:val="00DF3F59"/>
    <w:rsid w:val="00DF6189"/>
    <w:rsid w:val="00DF62CD"/>
    <w:rsid w:val="00E15E09"/>
    <w:rsid w:val="00E16509"/>
    <w:rsid w:val="00E34734"/>
    <w:rsid w:val="00E354F7"/>
    <w:rsid w:val="00E44582"/>
    <w:rsid w:val="00E52814"/>
    <w:rsid w:val="00E66799"/>
    <w:rsid w:val="00E72324"/>
    <w:rsid w:val="00E72ABE"/>
    <w:rsid w:val="00E7339E"/>
    <w:rsid w:val="00E77645"/>
    <w:rsid w:val="00E93A86"/>
    <w:rsid w:val="00EC4A25"/>
    <w:rsid w:val="00ED770E"/>
    <w:rsid w:val="00EE5AA7"/>
    <w:rsid w:val="00F025A2"/>
    <w:rsid w:val="00F02A6C"/>
    <w:rsid w:val="00F04712"/>
    <w:rsid w:val="00F21311"/>
    <w:rsid w:val="00F22EC7"/>
    <w:rsid w:val="00F274DA"/>
    <w:rsid w:val="00F31F9E"/>
    <w:rsid w:val="00F325C8"/>
    <w:rsid w:val="00F555C2"/>
    <w:rsid w:val="00F62AEB"/>
    <w:rsid w:val="00F653B8"/>
    <w:rsid w:val="00F70647"/>
    <w:rsid w:val="00F70E65"/>
    <w:rsid w:val="00F73394"/>
    <w:rsid w:val="00FA1266"/>
    <w:rsid w:val="00FA5CDE"/>
    <w:rsid w:val="00FC1192"/>
    <w:rsid w:val="00FF06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07CF0"/>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szCs w:val="20"/>
      <w:lang w:val="en-GB"/>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Cs w:val="20"/>
      <w:lang w:val="en-GB"/>
    </w:rPr>
  </w:style>
  <w:style w:type="paragraph" w:customStyle="1" w:styleId="FP">
    <w:name w:val="FP"/>
    <w:basedOn w:val="Normal"/>
    <w:rPr>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spacing w:after="180"/>
      <w:ind w:left="568" w:hanging="284"/>
    </w:pPr>
    <w:rPr>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after="180"/>
      <w:jc w:val="center"/>
    </w:pPr>
    <w:rPr>
      <w:rFonts w:ascii="Arial" w:hAnsi="Arial"/>
      <w:b/>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Cs w:val="20"/>
      <w:lang w:val="en-GB"/>
    </w:rPr>
  </w:style>
  <w:style w:type="paragraph" w:customStyle="1" w:styleId="B3">
    <w:name w:val="B3"/>
    <w:basedOn w:val="Normal"/>
    <w:pPr>
      <w:spacing w:after="180"/>
      <w:ind w:left="1135" w:hanging="284"/>
    </w:pPr>
    <w:rPr>
      <w:szCs w:val="20"/>
      <w:lang w:val="en-GB"/>
    </w:rPr>
  </w:style>
  <w:style w:type="paragraph" w:customStyle="1" w:styleId="B4">
    <w:name w:val="B4"/>
    <w:basedOn w:val="Normal"/>
    <w:pPr>
      <w:spacing w:after="180"/>
      <w:ind w:left="1418" w:hanging="284"/>
    </w:pPr>
    <w:rPr>
      <w:szCs w:val="20"/>
      <w:lang w:val="en-GB"/>
    </w:rPr>
  </w:style>
  <w:style w:type="paragraph" w:customStyle="1" w:styleId="B5">
    <w:name w:val="B5"/>
    <w:basedOn w:val="Normal"/>
    <w:pPr>
      <w:spacing w:after="180"/>
      <w:ind w:left="1702" w:hanging="284"/>
    </w:pPr>
    <w:rPr>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Cs w:val="20"/>
      <w:lang w:val="en-GB"/>
    </w:rPr>
  </w:style>
  <w:style w:type="paragraph" w:customStyle="1" w:styleId="Proposal">
    <w:name w:val="Proposal"/>
    <w:basedOn w:val="Normal"/>
    <w:rsid w:val="003E7753"/>
    <w:pPr>
      <w:tabs>
        <w:tab w:val="left" w:pos="1701"/>
      </w:tabs>
      <w:spacing w:after="180"/>
      <w:ind w:left="1701" w:hanging="1701"/>
    </w:pPr>
    <w:rPr>
      <w:b/>
      <w:szCs w:val="20"/>
      <w:lang w:val="en-GB"/>
    </w:rPr>
  </w:style>
  <w:style w:type="paragraph" w:styleId="NormalWeb">
    <w:name w:val="Normal (Web)"/>
    <w:basedOn w:val="Normal"/>
    <w:uiPriority w:val="99"/>
    <w:unhideWhenUsed/>
    <w:rsid w:val="00A205DD"/>
    <w:pPr>
      <w:spacing w:before="100" w:beforeAutospacing="1" w:after="100" w:afterAutospacing="1"/>
    </w:pPr>
  </w:style>
  <w:style w:type="character" w:customStyle="1" w:styleId="apple-tab-span">
    <w:name w:val="apple-tab-span"/>
    <w:basedOn w:val="DefaultParagraphFont"/>
    <w:rsid w:val="00F70E65"/>
  </w:style>
  <w:style w:type="paragraph" w:styleId="Caption">
    <w:name w:val="caption"/>
    <w:basedOn w:val="Normal"/>
    <w:next w:val="Normal"/>
    <w:unhideWhenUsed/>
    <w:qFormat/>
    <w:rsid w:val="00714E1A"/>
    <w:pPr>
      <w:spacing w:after="200"/>
    </w:pPr>
    <w:rPr>
      <w:i/>
      <w:iCs/>
      <w:color w:val="44546A" w:themeColor="text2"/>
      <w:sz w:val="18"/>
      <w:szCs w:val="18"/>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FA5CDE"/>
    <w:pPr>
      <w:overflowPunct w:val="0"/>
      <w:autoSpaceDE w:val="0"/>
      <w:autoSpaceDN w:val="0"/>
      <w:adjustRightInd w:val="0"/>
      <w:spacing w:after="180"/>
      <w:ind w:firstLineChars="200" w:firstLine="420"/>
      <w:textAlignment w:val="baseline"/>
    </w:pPr>
    <w:rPr>
      <w:rFonts w:eastAsia="MS Mincho"/>
      <w:szCs w:val="20"/>
      <w:lang w:val="en-GB"/>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FA5CDE"/>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694272">
      <w:bodyDiv w:val="1"/>
      <w:marLeft w:val="0"/>
      <w:marRight w:val="0"/>
      <w:marTop w:val="0"/>
      <w:marBottom w:val="0"/>
      <w:divBdr>
        <w:top w:val="none" w:sz="0" w:space="0" w:color="auto"/>
        <w:left w:val="none" w:sz="0" w:space="0" w:color="auto"/>
        <w:bottom w:val="none" w:sz="0" w:space="0" w:color="auto"/>
        <w:right w:val="none" w:sz="0" w:space="0" w:color="auto"/>
      </w:divBdr>
    </w:div>
    <w:div w:id="531577794">
      <w:bodyDiv w:val="1"/>
      <w:marLeft w:val="0"/>
      <w:marRight w:val="0"/>
      <w:marTop w:val="0"/>
      <w:marBottom w:val="0"/>
      <w:divBdr>
        <w:top w:val="none" w:sz="0" w:space="0" w:color="auto"/>
        <w:left w:val="none" w:sz="0" w:space="0" w:color="auto"/>
        <w:bottom w:val="none" w:sz="0" w:space="0" w:color="auto"/>
        <w:right w:val="none" w:sz="0" w:space="0" w:color="auto"/>
      </w:divBdr>
    </w:div>
    <w:div w:id="688600205">
      <w:bodyDiv w:val="1"/>
      <w:marLeft w:val="0"/>
      <w:marRight w:val="0"/>
      <w:marTop w:val="0"/>
      <w:marBottom w:val="0"/>
      <w:divBdr>
        <w:top w:val="none" w:sz="0" w:space="0" w:color="auto"/>
        <w:left w:val="none" w:sz="0" w:space="0" w:color="auto"/>
        <w:bottom w:val="none" w:sz="0" w:space="0" w:color="auto"/>
        <w:right w:val="none" w:sz="0" w:space="0" w:color="auto"/>
      </w:divBdr>
      <w:divsChild>
        <w:div w:id="1824933337">
          <w:marLeft w:val="0"/>
          <w:marRight w:val="0"/>
          <w:marTop w:val="0"/>
          <w:marBottom w:val="0"/>
          <w:divBdr>
            <w:top w:val="none" w:sz="0" w:space="0" w:color="auto"/>
            <w:left w:val="none" w:sz="0" w:space="0" w:color="auto"/>
            <w:bottom w:val="none" w:sz="0" w:space="0" w:color="auto"/>
            <w:right w:val="none" w:sz="0" w:space="0" w:color="auto"/>
          </w:divBdr>
          <w:divsChild>
            <w:div w:id="139809967">
              <w:marLeft w:val="0"/>
              <w:marRight w:val="0"/>
              <w:marTop w:val="0"/>
              <w:marBottom w:val="0"/>
              <w:divBdr>
                <w:top w:val="none" w:sz="0" w:space="0" w:color="auto"/>
                <w:left w:val="none" w:sz="0" w:space="0" w:color="auto"/>
                <w:bottom w:val="none" w:sz="0" w:space="0" w:color="auto"/>
                <w:right w:val="none" w:sz="0" w:space="0" w:color="auto"/>
              </w:divBdr>
              <w:divsChild>
                <w:div w:id="1570657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536279">
      <w:bodyDiv w:val="1"/>
      <w:marLeft w:val="0"/>
      <w:marRight w:val="0"/>
      <w:marTop w:val="0"/>
      <w:marBottom w:val="0"/>
      <w:divBdr>
        <w:top w:val="none" w:sz="0" w:space="0" w:color="auto"/>
        <w:left w:val="none" w:sz="0" w:space="0" w:color="auto"/>
        <w:bottom w:val="none" w:sz="0" w:space="0" w:color="auto"/>
        <w:right w:val="none" w:sz="0" w:space="0" w:color="auto"/>
      </w:divBdr>
    </w:div>
    <w:div w:id="1725908096">
      <w:bodyDiv w:val="1"/>
      <w:marLeft w:val="0"/>
      <w:marRight w:val="0"/>
      <w:marTop w:val="0"/>
      <w:marBottom w:val="0"/>
      <w:divBdr>
        <w:top w:val="none" w:sz="0" w:space="0" w:color="auto"/>
        <w:left w:val="none" w:sz="0" w:space="0" w:color="auto"/>
        <w:bottom w:val="none" w:sz="0" w:space="0" w:color="auto"/>
        <w:right w:val="none" w:sz="0" w:space="0" w:color="auto"/>
      </w:divBdr>
    </w:div>
    <w:div w:id="205365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A8177-2DE5-6149-A132-8297C386D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111</TotalTime>
  <Pages>4</Pages>
  <Words>1579</Words>
  <Characters>9006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10564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43</cp:revision>
  <cp:lastPrinted>2020-02-14T13:46:00Z</cp:lastPrinted>
  <dcterms:created xsi:type="dcterms:W3CDTF">2019-11-08T13:26:00Z</dcterms:created>
  <dcterms:modified xsi:type="dcterms:W3CDTF">2020-05-14T18:52:00Z</dcterms:modified>
  <cp:category/>
</cp:coreProperties>
</file>